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b/>
          <w:bCs/>
          <w:kern w:val="0"/>
          <w:sz w:val="32"/>
          <w:szCs w:val="32"/>
          <w:highlight w:val="none"/>
        </w:rPr>
      </w:pPr>
      <w:r>
        <w:rPr>
          <w:b/>
          <w:bCs/>
          <w:kern w:val="0"/>
          <w:sz w:val="32"/>
          <w:szCs w:val="32"/>
          <w:highlight w:val="none"/>
        </w:rPr>
        <w:t>上海海洋大学经济管理学院</w:t>
      </w:r>
    </w:p>
    <w:p>
      <w:pPr>
        <w:widowControl/>
        <w:spacing w:line="480" w:lineRule="auto"/>
        <w:jc w:val="center"/>
        <w:rPr>
          <w:rFonts w:hint="eastAsia" w:eastAsia="宋体"/>
          <w:b/>
          <w:bCs/>
          <w:kern w:val="0"/>
          <w:sz w:val="32"/>
          <w:szCs w:val="32"/>
          <w:highlight w:val="none"/>
          <w:lang w:eastAsia="zh-CN"/>
        </w:rPr>
      </w:pPr>
      <w:r>
        <w:rPr>
          <w:b/>
          <w:bCs/>
          <w:kern w:val="0"/>
          <w:sz w:val="32"/>
          <w:szCs w:val="32"/>
          <w:highlight w:val="none"/>
        </w:rPr>
        <w:t>研究生学业奖学金实施细则</w:t>
      </w:r>
      <w:r>
        <w:rPr>
          <w:rFonts w:hint="eastAsia"/>
          <w:b/>
          <w:bCs/>
          <w:kern w:val="0"/>
          <w:sz w:val="32"/>
          <w:szCs w:val="32"/>
          <w:highlight w:val="none"/>
          <w:lang w:eastAsia="zh-CN"/>
        </w:rPr>
        <w:t>（</w:t>
      </w:r>
      <w:r>
        <w:rPr>
          <w:rFonts w:hint="eastAsia"/>
          <w:b/>
          <w:bCs/>
          <w:kern w:val="0"/>
          <w:sz w:val="32"/>
          <w:szCs w:val="32"/>
          <w:highlight w:val="none"/>
          <w:lang w:val="en-US" w:eastAsia="zh-CN"/>
        </w:rPr>
        <w:t>2020年修订</w:t>
      </w:r>
      <w:r>
        <w:rPr>
          <w:rFonts w:hint="eastAsia"/>
          <w:b/>
          <w:bCs/>
          <w:kern w:val="0"/>
          <w:sz w:val="32"/>
          <w:szCs w:val="32"/>
          <w:highlight w:val="none"/>
          <w:lang w:eastAsia="zh-CN"/>
        </w:rPr>
        <w:t>）</w:t>
      </w:r>
    </w:p>
    <w:p>
      <w:pPr>
        <w:widowControl/>
        <w:spacing w:line="400" w:lineRule="exact"/>
        <w:jc w:val="left"/>
        <w:rPr>
          <w:kern w:val="0"/>
          <w:szCs w:val="18"/>
          <w:highlight w:val="none"/>
        </w:rPr>
      </w:pPr>
      <w:r>
        <w:rPr>
          <w:b/>
          <w:kern w:val="0"/>
          <w:szCs w:val="18"/>
          <w:highlight w:val="none"/>
        </w:rPr>
        <w:t>第一条</w:t>
      </w:r>
      <w:r>
        <w:rPr>
          <w:kern w:val="0"/>
          <w:szCs w:val="18"/>
          <w:highlight w:val="none"/>
        </w:rPr>
        <w:t xml:space="preserve">  为鼓励我院研究生勤奋学习、潜心科研、勇于创新、积极进取，支持研究生顺利完成学业，按照《上海海洋大学研究生学业奖学金实施细则》（沪海洋研﹝2014﹞15号（2017年6月修订）），并</w:t>
      </w:r>
      <w:r>
        <w:rPr>
          <w:rFonts w:hint="eastAsia"/>
          <w:kern w:val="0"/>
          <w:szCs w:val="18"/>
          <w:highlight w:val="none"/>
        </w:rPr>
        <w:t>结</w:t>
      </w:r>
      <w:r>
        <w:rPr>
          <w:kern w:val="0"/>
          <w:szCs w:val="18"/>
          <w:highlight w:val="none"/>
        </w:rPr>
        <w:t>合全面发展、综合发展的原则制定了本细则。</w:t>
      </w:r>
    </w:p>
    <w:p>
      <w:pPr>
        <w:widowControl/>
        <w:spacing w:line="400" w:lineRule="exact"/>
        <w:jc w:val="left"/>
        <w:rPr>
          <w:kern w:val="0"/>
          <w:szCs w:val="18"/>
          <w:highlight w:val="none"/>
        </w:rPr>
      </w:pPr>
      <w:r>
        <w:rPr>
          <w:b/>
          <w:kern w:val="0"/>
          <w:szCs w:val="18"/>
          <w:highlight w:val="none"/>
        </w:rPr>
        <w:t>第二条</w:t>
      </w:r>
      <w:r>
        <w:rPr>
          <w:kern w:val="0"/>
          <w:szCs w:val="18"/>
          <w:highlight w:val="none"/>
        </w:rPr>
        <w:t xml:space="preserve">  研究生学业奖学金的评选对象为纳入全国研究生招生计划的全日制非定向委培生，须具有中华人民共和国国籍。</w:t>
      </w:r>
    </w:p>
    <w:p>
      <w:pPr>
        <w:widowControl/>
        <w:spacing w:line="400" w:lineRule="exact"/>
        <w:jc w:val="left"/>
        <w:rPr>
          <w:kern w:val="0"/>
          <w:highlight w:val="none"/>
        </w:rPr>
      </w:pPr>
      <w:r>
        <w:rPr>
          <w:b/>
          <w:kern w:val="0"/>
          <w:szCs w:val="18"/>
          <w:highlight w:val="none"/>
        </w:rPr>
        <w:t>第三条</w:t>
      </w:r>
      <w:r>
        <w:rPr>
          <w:kern w:val="0"/>
          <w:szCs w:val="18"/>
          <w:highlight w:val="none"/>
        </w:rPr>
        <w:t xml:space="preserve">  </w:t>
      </w:r>
      <w:r>
        <w:rPr>
          <w:kern w:val="0"/>
          <w:highlight w:val="none"/>
        </w:rPr>
        <w:t>学业奖学金每学年评选1次。其中，博士研究生按照学制3-4年，学术型、专业学位硕士生按照学制</w:t>
      </w:r>
      <w:r>
        <w:rPr>
          <w:rFonts w:hint="eastAsia"/>
          <w:kern w:val="0"/>
          <w:highlight w:val="none"/>
          <w:lang w:val="en-US" w:eastAsia="zh-CN"/>
        </w:rPr>
        <w:t>年限</w:t>
      </w:r>
      <w:r>
        <w:rPr>
          <w:kern w:val="0"/>
          <w:highlight w:val="none"/>
        </w:rPr>
        <w:t>进行评选和发放。</w:t>
      </w:r>
    </w:p>
    <w:p>
      <w:pPr>
        <w:widowControl/>
        <w:spacing w:line="400" w:lineRule="exact"/>
        <w:jc w:val="left"/>
        <w:rPr>
          <w:kern w:val="0"/>
          <w:highlight w:val="none"/>
        </w:rPr>
      </w:pPr>
      <w:r>
        <w:rPr>
          <w:b/>
          <w:kern w:val="0"/>
          <w:highlight w:val="none"/>
        </w:rPr>
        <w:t>第四条</w:t>
      </w:r>
      <w:r>
        <w:rPr>
          <w:kern w:val="0"/>
          <w:highlight w:val="none"/>
        </w:rPr>
        <w:t xml:space="preserve">  学业奖学金获奖比例与评奖等级如下：</w:t>
      </w:r>
    </w:p>
    <w:p>
      <w:pPr>
        <w:widowControl/>
        <w:spacing w:line="400" w:lineRule="exact"/>
        <w:jc w:val="left"/>
        <w:rPr>
          <w:kern w:val="0"/>
          <w:highlight w:val="none"/>
        </w:rPr>
      </w:pPr>
      <w:r>
        <w:rPr>
          <w:kern w:val="0"/>
          <w:highlight w:val="none"/>
        </w:rPr>
        <w:t>一年级研究生第一志愿上线生和推免生学业奖学金为：博士生15000元，硕士生8000元；</w:t>
      </w:r>
    </w:p>
    <w:p>
      <w:pPr>
        <w:widowControl/>
        <w:spacing w:line="400" w:lineRule="exact"/>
        <w:jc w:val="left"/>
        <w:rPr>
          <w:kern w:val="0"/>
          <w:highlight w:val="none"/>
        </w:rPr>
      </w:pPr>
      <w:r>
        <w:rPr>
          <w:kern w:val="0"/>
          <w:highlight w:val="none"/>
        </w:rPr>
        <w:t>其他博士生和硕士生分别为10000元、6000元。</w:t>
      </w:r>
    </w:p>
    <w:p>
      <w:pPr>
        <w:widowControl/>
        <w:spacing w:line="400" w:lineRule="exact"/>
        <w:jc w:val="left"/>
        <w:rPr>
          <w:kern w:val="0"/>
          <w:szCs w:val="18"/>
          <w:highlight w:val="none"/>
        </w:rPr>
      </w:pPr>
      <w:r>
        <w:rPr>
          <w:kern w:val="0"/>
          <w:highlight w:val="none"/>
        </w:rPr>
        <w:t>二年级及以上研究生根据学业成绩、科研成果、社会服务以及家庭经济状况等按下表重新进行评定。</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4"/>
        <w:gridCol w:w="1607"/>
        <w:gridCol w:w="1607"/>
        <w:gridCol w:w="182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restart"/>
            <w:shd w:val="clear" w:color="auto" w:fill="auto"/>
            <w:vAlign w:val="center"/>
          </w:tcPr>
          <w:p>
            <w:pPr>
              <w:widowControl/>
              <w:spacing w:line="400" w:lineRule="exact"/>
              <w:jc w:val="center"/>
              <w:rPr>
                <w:kern w:val="0"/>
                <w:sz w:val="18"/>
                <w:szCs w:val="18"/>
                <w:highlight w:val="none"/>
              </w:rPr>
            </w:pPr>
            <w:r>
              <w:rPr>
                <w:kern w:val="0"/>
                <w:sz w:val="18"/>
                <w:szCs w:val="18"/>
                <w:highlight w:val="none"/>
              </w:rPr>
              <w:t>等级</w:t>
            </w:r>
          </w:p>
        </w:tc>
        <w:tc>
          <w:tcPr>
            <w:tcW w:w="1886" w:type="pct"/>
            <w:gridSpan w:val="2"/>
            <w:vAlign w:val="center"/>
          </w:tcPr>
          <w:p>
            <w:pPr>
              <w:widowControl/>
              <w:spacing w:line="400" w:lineRule="exact"/>
              <w:jc w:val="center"/>
              <w:rPr>
                <w:kern w:val="0"/>
                <w:sz w:val="18"/>
                <w:szCs w:val="18"/>
                <w:highlight w:val="none"/>
              </w:rPr>
            </w:pPr>
            <w:r>
              <w:rPr>
                <w:kern w:val="0"/>
                <w:sz w:val="18"/>
                <w:szCs w:val="18"/>
                <w:highlight w:val="none"/>
              </w:rPr>
              <w:t>博士生</w:t>
            </w:r>
          </w:p>
        </w:tc>
        <w:tc>
          <w:tcPr>
            <w:tcW w:w="2090" w:type="pct"/>
            <w:gridSpan w:val="2"/>
            <w:shd w:val="clear" w:color="auto" w:fill="auto"/>
            <w:vAlign w:val="center"/>
          </w:tcPr>
          <w:p>
            <w:pPr>
              <w:widowControl/>
              <w:spacing w:line="400" w:lineRule="exact"/>
              <w:jc w:val="center"/>
              <w:rPr>
                <w:kern w:val="0"/>
                <w:sz w:val="18"/>
                <w:szCs w:val="18"/>
                <w:highlight w:val="none"/>
              </w:rPr>
            </w:pPr>
            <w:r>
              <w:rPr>
                <w:kern w:val="0"/>
                <w:sz w:val="18"/>
                <w:szCs w:val="18"/>
                <w:highlight w:val="none"/>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vMerge w:val="continue"/>
            <w:shd w:val="clear" w:color="auto" w:fill="auto"/>
            <w:vAlign w:val="center"/>
          </w:tcPr>
          <w:p>
            <w:pPr>
              <w:widowControl/>
              <w:spacing w:line="400" w:lineRule="exact"/>
              <w:jc w:val="center"/>
              <w:rPr>
                <w:kern w:val="0"/>
                <w:sz w:val="18"/>
                <w:szCs w:val="18"/>
                <w:highlight w:val="none"/>
              </w:rPr>
            </w:pPr>
          </w:p>
        </w:tc>
        <w:tc>
          <w:tcPr>
            <w:tcW w:w="943" w:type="pct"/>
            <w:vAlign w:val="center"/>
          </w:tcPr>
          <w:p>
            <w:pPr>
              <w:widowControl/>
              <w:spacing w:line="400" w:lineRule="exact"/>
              <w:jc w:val="center"/>
              <w:rPr>
                <w:kern w:val="0"/>
                <w:sz w:val="18"/>
                <w:szCs w:val="18"/>
                <w:highlight w:val="none"/>
              </w:rPr>
            </w:pPr>
            <w:r>
              <w:rPr>
                <w:kern w:val="0"/>
                <w:sz w:val="18"/>
                <w:szCs w:val="18"/>
                <w:highlight w:val="none"/>
              </w:rPr>
              <w:t>标准</w:t>
            </w:r>
          </w:p>
        </w:tc>
        <w:tc>
          <w:tcPr>
            <w:tcW w:w="943" w:type="pct"/>
            <w:vAlign w:val="center"/>
          </w:tcPr>
          <w:p>
            <w:pPr>
              <w:widowControl/>
              <w:spacing w:line="400" w:lineRule="exact"/>
              <w:jc w:val="center"/>
              <w:rPr>
                <w:kern w:val="0"/>
                <w:sz w:val="18"/>
                <w:szCs w:val="18"/>
                <w:highlight w:val="none"/>
              </w:rPr>
            </w:pPr>
            <w:r>
              <w:rPr>
                <w:kern w:val="0"/>
                <w:sz w:val="18"/>
                <w:szCs w:val="18"/>
                <w:highlight w:val="none"/>
              </w:rPr>
              <w:t>比例</w:t>
            </w:r>
          </w:p>
        </w:tc>
        <w:tc>
          <w:tcPr>
            <w:tcW w:w="1068"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标准</w:t>
            </w:r>
          </w:p>
        </w:tc>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一等</w:t>
            </w:r>
          </w:p>
        </w:tc>
        <w:tc>
          <w:tcPr>
            <w:tcW w:w="943" w:type="pct"/>
            <w:vAlign w:val="center"/>
          </w:tcPr>
          <w:p>
            <w:pPr>
              <w:jc w:val="center"/>
              <w:rPr>
                <w:highlight w:val="none"/>
              </w:rPr>
            </w:pPr>
            <w:r>
              <w:rPr>
                <w:kern w:val="0"/>
                <w:sz w:val="18"/>
                <w:szCs w:val="18"/>
                <w:highlight w:val="none"/>
              </w:rPr>
              <w:t>18000元</w:t>
            </w:r>
          </w:p>
        </w:tc>
        <w:tc>
          <w:tcPr>
            <w:tcW w:w="943" w:type="pct"/>
            <w:vAlign w:val="center"/>
          </w:tcPr>
          <w:p>
            <w:pPr>
              <w:widowControl/>
              <w:spacing w:line="400" w:lineRule="exact"/>
              <w:jc w:val="center"/>
              <w:rPr>
                <w:kern w:val="0"/>
                <w:sz w:val="18"/>
                <w:szCs w:val="18"/>
                <w:highlight w:val="none"/>
              </w:rPr>
            </w:pPr>
            <w:r>
              <w:rPr>
                <w:kern w:val="0"/>
                <w:sz w:val="18"/>
                <w:szCs w:val="18"/>
                <w:highlight w:val="none"/>
              </w:rPr>
              <w:t>5%</w:t>
            </w:r>
          </w:p>
        </w:tc>
        <w:tc>
          <w:tcPr>
            <w:tcW w:w="1068" w:type="pct"/>
            <w:shd w:val="clear" w:color="auto" w:fill="auto"/>
            <w:vAlign w:val="center"/>
          </w:tcPr>
          <w:p>
            <w:pPr>
              <w:jc w:val="center"/>
              <w:rPr>
                <w:highlight w:val="none"/>
              </w:rPr>
            </w:pPr>
            <w:r>
              <w:rPr>
                <w:kern w:val="0"/>
                <w:sz w:val="18"/>
                <w:szCs w:val="18"/>
                <w:highlight w:val="none"/>
              </w:rPr>
              <w:t>12000元</w:t>
            </w:r>
          </w:p>
        </w:tc>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二等</w:t>
            </w:r>
          </w:p>
        </w:tc>
        <w:tc>
          <w:tcPr>
            <w:tcW w:w="943" w:type="pct"/>
            <w:vAlign w:val="center"/>
          </w:tcPr>
          <w:p>
            <w:pPr>
              <w:jc w:val="center"/>
              <w:rPr>
                <w:highlight w:val="none"/>
              </w:rPr>
            </w:pPr>
            <w:r>
              <w:rPr>
                <w:kern w:val="0"/>
                <w:sz w:val="18"/>
                <w:szCs w:val="18"/>
                <w:highlight w:val="none"/>
              </w:rPr>
              <w:t>15000元</w:t>
            </w:r>
          </w:p>
        </w:tc>
        <w:tc>
          <w:tcPr>
            <w:tcW w:w="943" w:type="pct"/>
            <w:vAlign w:val="center"/>
          </w:tcPr>
          <w:p>
            <w:pPr>
              <w:jc w:val="center"/>
              <w:rPr>
                <w:highlight w:val="none"/>
              </w:rPr>
            </w:pPr>
            <w:r>
              <w:rPr>
                <w:kern w:val="0"/>
                <w:sz w:val="18"/>
                <w:szCs w:val="18"/>
                <w:highlight w:val="none"/>
              </w:rPr>
              <w:t>25%</w:t>
            </w:r>
          </w:p>
        </w:tc>
        <w:tc>
          <w:tcPr>
            <w:tcW w:w="1068" w:type="pct"/>
            <w:shd w:val="clear" w:color="auto" w:fill="auto"/>
            <w:vAlign w:val="center"/>
          </w:tcPr>
          <w:p>
            <w:pPr>
              <w:jc w:val="center"/>
              <w:rPr>
                <w:highlight w:val="none"/>
              </w:rPr>
            </w:pPr>
            <w:r>
              <w:rPr>
                <w:kern w:val="0"/>
                <w:sz w:val="18"/>
                <w:szCs w:val="18"/>
                <w:highlight w:val="none"/>
              </w:rPr>
              <w:t>8000元</w:t>
            </w:r>
          </w:p>
        </w:tc>
        <w:tc>
          <w:tcPr>
            <w:tcW w:w="1023" w:type="pct"/>
            <w:shd w:val="clear" w:color="auto" w:fill="auto"/>
            <w:vAlign w:val="center"/>
          </w:tcPr>
          <w:p>
            <w:pPr>
              <w:jc w:val="center"/>
              <w:rPr>
                <w:highlight w:val="none"/>
              </w:rPr>
            </w:pPr>
            <w:r>
              <w:rPr>
                <w:kern w:val="0"/>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三等</w:t>
            </w:r>
          </w:p>
        </w:tc>
        <w:tc>
          <w:tcPr>
            <w:tcW w:w="943" w:type="pct"/>
            <w:vAlign w:val="center"/>
          </w:tcPr>
          <w:p>
            <w:pPr>
              <w:jc w:val="center"/>
              <w:rPr>
                <w:highlight w:val="none"/>
              </w:rPr>
            </w:pPr>
            <w:r>
              <w:rPr>
                <w:kern w:val="0"/>
                <w:sz w:val="18"/>
                <w:szCs w:val="18"/>
                <w:highlight w:val="none"/>
              </w:rPr>
              <w:t>10000元</w:t>
            </w:r>
          </w:p>
        </w:tc>
        <w:tc>
          <w:tcPr>
            <w:tcW w:w="943" w:type="pct"/>
            <w:vAlign w:val="center"/>
          </w:tcPr>
          <w:p>
            <w:pPr>
              <w:jc w:val="center"/>
              <w:rPr>
                <w:highlight w:val="none"/>
              </w:rPr>
            </w:pPr>
            <w:r>
              <w:rPr>
                <w:kern w:val="0"/>
                <w:sz w:val="18"/>
                <w:szCs w:val="18"/>
                <w:highlight w:val="none"/>
              </w:rPr>
              <w:t>45%</w:t>
            </w:r>
          </w:p>
        </w:tc>
        <w:tc>
          <w:tcPr>
            <w:tcW w:w="1068" w:type="pct"/>
            <w:shd w:val="clear" w:color="auto" w:fill="auto"/>
            <w:vAlign w:val="center"/>
          </w:tcPr>
          <w:p>
            <w:pPr>
              <w:jc w:val="center"/>
              <w:rPr>
                <w:highlight w:val="none"/>
              </w:rPr>
            </w:pPr>
            <w:r>
              <w:rPr>
                <w:kern w:val="0"/>
                <w:sz w:val="18"/>
                <w:szCs w:val="18"/>
                <w:highlight w:val="none"/>
              </w:rPr>
              <w:t>6000元</w:t>
            </w:r>
          </w:p>
        </w:tc>
        <w:tc>
          <w:tcPr>
            <w:tcW w:w="1023" w:type="pct"/>
            <w:shd w:val="clear" w:color="auto" w:fill="auto"/>
            <w:vAlign w:val="center"/>
          </w:tcPr>
          <w:p>
            <w:pPr>
              <w:jc w:val="center"/>
              <w:rPr>
                <w:highlight w:val="none"/>
              </w:rPr>
            </w:pPr>
            <w:r>
              <w:rPr>
                <w:kern w:val="0"/>
                <w:sz w:val="18"/>
                <w:szCs w:val="18"/>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四等</w:t>
            </w:r>
          </w:p>
        </w:tc>
        <w:tc>
          <w:tcPr>
            <w:tcW w:w="943" w:type="pct"/>
            <w:vAlign w:val="center"/>
          </w:tcPr>
          <w:p>
            <w:pPr>
              <w:jc w:val="center"/>
              <w:rPr>
                <w:highlight w:val="none"/>
              </w:rPr>
            </w:pPr>
            <w:r>
              <w:rPr>
                <w:kern w:val="0"/>
                <w:sz w:val="18"/>
                <w:szCs w:val="18"/>
                <w:highlight w:val="none"/>
              </w:rPr>
              <w:t>8000元</w:t>
            </w:r>
          </w:p>
        </w:tc>
        <w:tc>
          <w:tcPr>
            <w:tcW w:w="943" w:type="pct"/>
            <w:vAlign w:val="center"/>
          </w:tcPr>
          <w:p>
            <w:pPr>
              <w:widowControl/>
              <w:spacing w:line="400" w:lineRule="exact"/>
              <w:jc w:val="center"/>
              <w:rPr>
                <w:kern w:val="0"/>
                <w:sz w:val="18"/>
                <w:szCs w:val="18"/>
                <w:highlight w:val="none"/>
              </w:rPr>
            </w:pPr>
            <w:r>
              <w:rPr>
                <w:kern w:val="0"/>
                <w:sz w:val="18"/>
                <w:szCs w:val="18"/>
                <w:highlight w:val="none"/>
              </w:rPr>
              <w:t>25%</w:t>
            </w:r>
          </w:p>
        </w:tc>
        <w:tc>
          <w:tcPr>
            <w:tcW w:w="1068" w:type="pct"/>
            <w:shd w:val="clear" w:color="auto" w:fill="auto"/>
            <w:vAlign w:val="center"/>
          </w:tcPr>
          <w:p>
            <w:pPr>
              <w:jc w:val="center"/>
              <w:rPr>
                <w:highlight w:val="none"/>
              </w:rPr>
            </w:pPr>
            <w:r>
              <w:rPr>
                <w:kern w:val="0"/>
                <w:sz w:val="18"/>
                <w:szCs w:val="18"/>
                <w:highlight w:val="none"/>
              </w:rPr>
              <w:t>4000元</w:t>
            </w:r>
          </w:p>
        </w:tc>
        <w:tc>
          <w:tcPr>
            <w:tcW w:w="1023" w:type="pct"/>
            <w:shd w:val="clear" w:color="auto" w:fill="auto"/>
            <w:vAlign w:val="center"/>
          </w:tcPr>
          <w:p>
            <w:pPr>
              <w:widowControl/>
              <w:spacing w:line="400" w:lineRule="exact"/>
              <w:jc w:val="center"/>
              <w:rPr>
                <w:kern w:val="0"/>
                <w:sz w:val="18"/>
                <w:szCs w:val="18"/>
                <w:highlight w:val="none"/>
              </w:rPr>
            </w:pPr>
            <w:r>
              <w:rPr>
                <w:kern w:val="0"/>
                <w:sz w:val="18"/>
                <w:szCs w:val="18"/>
                <w:highlight w:val="none"/>
              </w:rPr>
              <w:t>25%</w:t>
            </w:r>
          </w:p>
        </w:tc>
      </w:tr>
    </w:tbl>
    <w:p>
      <w:pPr>
        <w:widowControl/>
        <w:spacing w:line="400" w:lineRule="exact"/>
        <w:jc w:val="left"/>
        <w:rPr>
          <w:b/>
          <w:kern w:val="0"/>
          <w:highlight w:val="none"/>
        </w:rPr>
      </w:pPr>
      <w:r>
        <w:rPr>
          <w:kern w:val="0"/>
          <w:highlight w:val="none"/>
        </w:rPr>
        <w:t>备注：学业奖学金发放标准根据国家和学校相关政策适时调整，发放额度总体按照培养类别分别制定</w:t>
      </w:r>
      <w:r>
        <w:rPr>
          <w:bCs/>
          <w:kern w:val="0"/>
          <w:highlight w:val="none"/>
        </w:rPr>
        <w:t>。</w:t>
      </w:r>
    </w:p>
    <w:p>
      <w:pPr>
        <w:widowControl/>
        <w:spacing w:line="400" w:lineRule="exact"/>
        <w:jc w:val="left"/>
        <w:rPr>
          <w:b/>
          <w:kern w:val="0"/>
          <w:highlight w:val="none"/>
        </w:rPr>
      </w:pPr>
      <w:r>
        <w:rPr>
          <w:b/>
          <w:kern w:val="0"/>
          <w:highlight w:val="none"/>
        </w:rPr>
        <w:t xml:space="preserve">第五条  </w:t>
      </w:r>
      <w:r>
        <w:rPr>
          <w:kern w:val="0"/>
          <w:highlight w:val="none"/>
        </w:rPr>
        <w:t>研究生学业奖学金申请基本条件</w:t>
      </w:r>
    </w:p>
    <w:p>
      <w:pPr>
        <w:widowControl/>
        <w:spacing w:line="400" w:lineRule="exact"/>
        <w:jc w:val="left"/>
        <w:rPr>
          <w:highlight w:val="none"/>
        </w:rPr>
      </w:pPr>
      <w:r>
        <w:rPr>
          <w:highlight w:val="none"/>
        </w:rPr>
        <w:t>1</w:t>
      </w:r>
      <w:r>
        <w:rPr>
          <w:rFonts w:hint="eastAsia"/>
          <w:highlight w:val="none"/>
          <w:lang w:eastAsia="zh-CN"/>
        </w:rPr>
        <w:t>、</w:t>
      </w:r>
      <w:r>
        <w:rPr>
          <w:highlight w:val="none"/>
        </w:rPr>
        <w:t>遵守宪法、法律、法规和学校的规章制度；</w:t>
      </w:r>
    </w:p>
    <w:p>
      <w:pPr>
        <w:widowControl/>
        <w:spacing w:line="400" w:lineRule="exact"/>
        <w:jc w:val="left"/>
        <w:rPr>
          <w:highlight w:val="none"/>
        </w:rPr>
      </w:pPr>
      <w:r>
        <w:rPr>
          <w:highlight w:val="none"/>
        </w:rPr>
        <w:t>2</w:t>
      </w:r>
      <w:r>
        <w:rPr>
          <w:rFonts w:hint="eastAsia"/>
          <w:highlight w:val="none"/>
          <w:lang w:eastAsia="zh-CN"/>
        </w:rPr>
        <w:t>、</w:t>
      </w:r>
      <w:r>
        <w:rPr>
          <w:highlight w:val="none"/>
        </w:rPr>
        <w:t xml:space="preserve">热爱祖国，拥护中国共产党的领导； </w:t>
      </w:r>
    </w:p>
    <w:p>
      <w:pPr>
        <w:widowControl/>
        <w:spacing w:line="400" w:lineRule="exact"/>
        <w:jc w:val="left"/>
        <w:rPr>
          <w:highlight w:val="none"/>
        </w:rPr>
      </w:pPr>
      <w:r>
        <w:rPr>
          <w:highlight w:val="none"/>
        </w:rPr>
        <w:t>3</w:t>
      </w:r>
      <w:r>
        <w:rPr>
          <w:rFonts w:hint="eastAsia"/>
          <w:highlight w:val="none"/>
          <w:lang w:eastAsia="zh-CN"/>
        </w:rPr>
        <w:t>、</w:t>
      </w:r>
      <w:r>
        <w:rPr>
          <w:highlight w:val="none"/>
        </w:rPr>
        <w:t xml:space="preserve"> 诚实守信，恪守学术道德，无违法违纪行为； </w:t>
      </w:r>
    </w:p>
    <w:p>
      <w:pPr>
        <w:widowControl/>
        <w:spacing w:line="400" w:lineRule="exact"/>
        <w:jc w:val="left"/>
        <w:rPr>
          <w:highlight w:val="none"/>
        </w:rPr>
      </w:pPr>
      <w:r>
        <w:rPr>
          <w:rFonts w:hint="eastAsia"/>
          <w:highlight w:val="none"/>
          <w:lang w:val="en-US" w:eastAsia="zh-CN"/>
        </w:rPr>
        <w:t>4</w:t>
      </w:r>
      <w:r>
        <w:rPr>
          <w:rFonts w:hint="eastAsia"/>
          <w:highlight w:val="none"/>
          <w:lang w:eastAsia="zh-CN"/>
        </w:rPr>
        <w:t>、</w:t>
      </w:r>
      <w:r>
        <w:rPr>
          <w:highlight w:val="none"/>
        </w:rPr>
        <w:t>学习成绩优异，科研能力显著，发展潜力突出；</w:t>
      </w:r>
    </w:p>
    <w:p>
      <w:pPr>
        <w:widowControl/>
        <w:spacing w:line="400" w:lineRule="exact"/>
        <w:jc w:val="left"/>
        <w:rPr>
          <w:highlight w:val="none"/>
        </w:rPr>
      </w:pPr>
      <w:r>
        <w:rPr>
          <w:highlight w:val="none"/>
        </w:rPr>
        <w:t>5</w:t>
      </w:r>
      <w:r>
        <w:rPr>
          <w:rFonts w:hint="eastAsia"/>
          <w:highlight w:val="none"/>
          <w:lang w:eastAsia="zh-CN"/>
        </w:rPr>
        <w:t>、</w:t>
      </w:r>
      <w:r>
        <w:rPr>
          <w:highlight w:val="none"/>
        </w:rPr>
        <w:t>按学校规定时间进行学籍注册、缴纳学费和住宿费。</w:t>
      </w:r>
    </w:p>
    <w:p>
      <w:pPr>
        <w:widowControl/>
        <w:autoSpaceDE w:val="0"/>
        <w:autoSpaceDN w:val="0"/>
        <w:adjustRightInd w:val="0"/>
        <w:spacing w:line="360" w:lineRule="auto"/>
        <w:jc w:val="left"/>
        <w:rPr>
          <w:highlight w:val="none"/>
        </w:rPr>
      </w:pPr>
      <w:r>
        <w:rPr>
          <w:b/>
          <w:highlight w:val="none"/>
        </w:rPr>
        <w:t>第六条</w:t>
      </w:r>
      <w:r>
        <w:rPr>
          <w:highlight w:val="none"/>
        </w:rPr>
        <w:t xml:space="preserve">  研究生学业奖学金发放特殊情况</w:t>
      </w:r>
    </w:p>
    <w:p>
      <w:pPr>
        <w:widowControl/>
        <w:autoSpaceDE w:val="0"/>
        <w:autoSpaceDN w:val="0"/>
        <w:adjustRightInd w:val="0"/>
        <w:spacing w:line="360" w:lineRule="auto"/>
        <w:jc w:val="left"/>
        <w:rPr>
          <w:kern w:val="0"/>
          <w:highlight w:val="none"/>
        </w:rPr>
      </w:pPr>
      <w:r>
        <w:rPr>
          <w:kern w:val="0"/>
          <w:highlight w:val="none"/>
        </w:rPr>
        <w:t>1</w:t>
      </w:r>
      <w:r>
        <w:rPr>
          <w:rFonts w:hint="eastAsia"/>
          <w:kern w:val="0"/>
          <w:highlight w:val="none"/>
          <w:lang w:eastAsia="zh-CN"/>
        </w:rPr>
        <w:t>、</w:t>
      </w:r>
      <w:r>
        <w:rPr>
          <w:kern w:val="0"/>
          <w:highlight w:val="none"/>
        </w:rPr>
        <w:t>联合培养研究生一年级在校期间的学业奖学金由学校发放，从进联合培养单位的下一月份开始，学业奖学金由联合培养单位发放，数额不低于学校标准。</w:t>
      </w:r>
    </w:p>
    <w:p>
      <w:pPr>
        <w:widowControl/>
        <w:autoSpaceDE w:val="0"/>
        <w:autoSpaceDN w:val="0"/>
        <w:adjustRightInd w:val="0"/>
        <w:spacing w:line="360" w:lineRule="auto"/>
        <w:jc w:val="left"/>
        <w:rPr>
          <w:kern w:val="0"/>
          <w:highlight w:val="none"/>
        </w:rPr>
      </w:pPr>
      <w:r>
        <w:rPr>
          <w:rFonts w:hint="eastAsia"/>
          <w:kern w:val="0"/>
          <w:highlight w:val="none"/>
          <w:lang w:val="en-US" w:eastAsia="zh-CN"/>
        </w:rPr>
        <w:t>2</w:t>
      </w:r>
      <w:r>
        <w:rPr>
          <w:rFonts w:hint="eastAsia"/>
          <w:kern w:val="0"/>
          <w:highlight w:val="none"/>
          <w:lang w:eastAsia="zh-CN"/>
        </w:rPr>
        <w:t>、</w:t>
      </w:r>
      <w:r>
        <w:rPr>
          <w:kern w:val="0"/>
          <w:highlight w:val="none"/>
        </w:rPr>
        <w:t>硕博连读</w:t>
      </w:r>
      <w:r>
        <w:rPr>
          <w:rFonts w:hint="eastAsia"/>
          <w:kern w:val="0"/>
          <w:highlight w:val="none"/>
        </w:rPr>
        <w:t>学生根据当年所修课程的层次阶段确定身份参与学业奖学金的评定。在选修硕士研究生课程阶段按照硕士研究生身份参与评定</w:t>
      </w:r>
      <w:r>
        <w:rPr>
          <w:kern w:val="0"/>
          <w:highlight w:val="none"/>
        </w:rPr>
        <w:t>，</w:t>
      </w:r>
      <w:r>
        <w:rPr>
          <w:rFonts w:hint="eastAsia"/>
          <w:kern w:val="0"/>
          <w:highlight w:val="none"/>
        </w:rPr>
        <w:t>进入选修博士研究生课程阶段按照博士研究生身份参与评定。</w:t>
      </w:r>
    </w:p>
    <w:p>
      <w:pPr>
        <w:widowControl/>
        <w:autoSpaceDE w:val="0"/>
        <w:autoSpaceDN w:val="0"/>
        <w:adjustRightInd w:val="0"/>
        <w:spacing w:line="360" w:lineRule="auto"/>
        <w:jc w:val="left"/>
        <w:rPr>
          <w:kern w:val="0"/>
          <w:highlight w:val="none"/>
        </w:rPr>
      </w:pPr>
      <w:r>
        <w:rPr>
          <w:rFonts w:hint="eastAsia"/>
          <w:kern w:val="0"/>
          <w:highlight w:val="none"/>
          <w:lang w:val="en-US" w:eastAsia="zh-CN"/>
        </w:rPr>
        <w:t>3</w:t>
      </w:r>
      <w:r>
        <w:rPr>
          <w:rFonts w:hint="eastAsia"/>
          <w:kern w:val="0"/>
          <w:highlight w:val="none"/>
          <w:lang w:eastAsia="zh-CN"/>
        </w:rPr>
        <w:t>、</w:t>
      </w:r>
      <w:r>
        <w:rPr>
          <w:kern w:val="0"/>
          <w:highlight w:val="none"/>
        </w:rPr>
        <w:t>未能在规定学制内完成学业，但又符合学校学籍管理规定的延期毕业研究生，不再享受学业奖学金，由导师通过助研岗位提供生活津贴，直至完成学业。</w:t>
      </w:r>
    </w:p>
    <w:p>
      <w:pPr>
        <w:widowControl/>
        <w:spacing w:line="400" w:lineRule="exact"/>
        <w:jc w:val="left"/>
        <w:rPr>
          <w:highlight w:val="none"/>
        </w:rPr>
      </w:pPr>
      <w:r>
        <w:rPr>
          <w:b/>
          <w:highlight w:val="none"/>
        </w:rPr>
        <w:t>第七条</w:t>
      </w:r>
      <w:r>
        <w:rPr>
          <w:highlight w:val="none"/>
        </w:rPr>
        <w:t xml:space="preserve">  获得学业奖学金的研究生，可同时申请研究生国家奖学金、研究生国家助学金、校内专项奖学金等其他研究生奖助政策资助（各校内专项奖学金互不兼得）。</w:t>
      </w:r>
    </w:p>
    <w:p>
      <w:pPr>
        <w:widowControl/>
        <w:spacing w:line="400" w:lineRule="exact"/>
        <w:jc w:val="left"/>
        <w:rPr>
          <w:highlight w:val="none"/>
        </w:rPr>
      </w:pPr>
      <w:r>
        <w:rPr>
          <w:b/>
          <w:highlight w:val="none"/>
        </w:rPr>
        <w:t>第八条</w:t>
      </w:r>
      <w:r>
        <w:rPr>
          <w:highlight w:val="none"/>
        </w:rPr>
        <w:t xml:space="preserve">  有下列情形之一的，无资格申请研究生学业奖学金。已获得研究生学业奖学金，被发现有下述情况者，撤销获奖资格，视情况收回奖学金。</w:t>
      </w:r>
    </w:p>
    <w:p>
      <w:pPr>
        <w:widowControl/>
        <w:spacing w:line="400" w:lineRule="exact"/>
        <w:jc w:val="left"/>
        <w:rPr>
          <w:highlight w:val="none"/>
        </w:rPr>
      </w:pPr>
      <w:r>
        <w:rPr>
          <w:highlight w:val="none"/>
        </w:rPr>
        <w:t>1</w:t>
      </w:r>
      <w:r>
        <w:rPr>
          <w:rFonts w:hint="eastAsia"/>
          <w:highlight w:val="none"/>
          <w:lang w:eastAsia="zh-CN"/>
        </w:rPr>
        <w:t>、</w:t>
      </w:r>
      <w:r>
        <w:rPr>
          <w:highlight w:val="none"/>
        </w:rPr>
        <w:t>无故欠缴学费、住宿费；</w:t>
      </w:r>
    </w:p>
    <w:p>
      <w:pPr>
        <w:widowControl/>
        <w:spacing w:line="400" w:lineRule="exact"/>
        <w:jc w:val="left"/>
        <w:rPr>
          <w:highlight w:val="none"/>
        </w:rPr>
      </w:pPr>
      <w:r>
        <w:rPr>
          <w:highlight w:val="none"/>
        </w:rPr>
        <w:t>2</w:t>
      </w:r>
      <w:r>
        <w:rPr>
          <w:rFonts w:hint="eastAsia"/>
          <w:highlight w:val="none"/>
          <w:lang w:eastAsia="zh-CN"/>
        </w:rPr>
        <w:t>、</w:t>
      </w:r>
      <w:r>
        <w:rPr>
          <w:highlight w:val="none"/>
        </w:rPr>
        <w:t>学习期间未按规定程序请假而离校，时间超过一个月的研究生；</w:t>
      </w:r>
    </w:p>
    <w:p>
      <w:pPr>
        <w:widowControl/>
        <w:spacing w:line="400" w:lineRule="exact"/>
        <w:jc w:val="left"/>
        <w:rPr>
          <w:highlight w:val="none"/>
        </w:rPr>
      </w:pPr>
      <w:r>
        <w:rPr>
          <w:highlight w:val="none"/>
        </w:rPr>
        <w:t>3</w:t>
      </w:r>
      <w:r>
        <w:rPr>
          <w:rFonts w:hint="eastAsia"/>
          <w:highlight w:val="none"/>
          <w:lang w:eastAsia="zh-CN"/>
        </w:rPr>
        <w:t>、</w:t>
      </w:r>
      <w:r>
        <w:rPr>
          <w:highlight w:val="none"/>
        </w:rPr>
        <w:t>已办理休学手续的研究生；</w:t>
      </w:r>
    </w:p>
    <w:p>
      <w:pPr>
        <w:widowControl/>
        <w:spacing w:line="400" w:lineRule="exact"/>
        <w:jc w:val="left"/>
        <w:rPr>
          <w:highlight w:val="none"/>
        </w:rPr>
      </w:pPr>
      <w:r>
        <w:rPr>
          <w:szCs w:val="21"/>
          <w:highlight w:val="none"/>
        </w:rPr>
        <w:t>4</w:t>
      </w:r>
      <w:r>
        <w:rPr>
          <w:rFonts w:hint="eastAsia"/>
          <w:szCs w:val="21"/>
          <w:highlight w:val="none"/>
          <w:lang w:eastAsia="zh-CN"/>
        </w:rPr>
        <w:t>、</w:t>
      </w:r>
      <w:r>
        <w:rPr>
          <w:szCs w:val="21"/>
          <w:highlight w:val="none"/>
        </w:rPr>
        <w:t>已办理退学手续的研究生；</w:t>
      </w:r>
    </w:p>
    <w:p>
      <w:pPr>
        <w:widowControl/>
        <w:spacing w:line="400" w:lineRule="exact"/>
        <w:jc w:val="left"/>
        <w:rPr>
          <w:highlight w:val="none"/>
        </w:rPr>
      </w:pPr>
      <w:r>
        <w:rPr>
          <w:highlight w:val="none"/>
        </w:rPr>
        <w:t>5</w:t>
      </w:r>
      <w:r>
        <w:rPr>
          <w:rFonts w:hint="eastAsia"/>
          <w:highlight w:val="none"/>
          <w:lang w:eastAsia="zh-CN"/>
        </w:rPr>
        <w:t>、</w:t>
      </w:r>
      <w:r>
        <w:rPr>
          <w:highlight w:val="none"/>
        </w:rPr>
        <w:t>凡在本学年中受到各类处分及通报批评、学术研究有弄虚作假行为等其他情况等。</w:t>
      </w:r>
    </w:p>
    <w:p>
      <w:pPr>
        <w:widowControl/>
        <w:spacing w:line="400" w:lineRule="exact"/>
        <w:jc w:val="left"/>
        <w:rPr>
          <w:kern w:val="0"/>
          <w:highlight w:val="none"/>
        </w:rPr>
      </w:pPr>
      <w:r>
        <w:rPr>
          <w:b/>
          <w:highlight w:val="none"/>
        </w:rPr>
        <w:t>第九条</w:t>
      </w:r>
      <w:r>
        <w:rPr>
          <w:highlight w:val="none"/>
        </w:rPr>
        <w:t xml:space="preserve">  </w:t>
      </w:r>
      <w:r>
        <w:rPr>
          <w:kern w:val="0"/>
          <w:highlight w:val="none"/>
        </w:rPr>
        <w:t>一年级研究生无需申请，由研究生招生办直接划分学业奖学金等级；二年级以上研究生，采用“先申请后受理、不申请不受理”的原则，由研究生本人在规定的申请时段内提出申请经过学院评审、学校研究生院审核后确定学业奖学金等级。</w:t>
      </w:r>
    </w:p>
    <w:p>
      <w:pPr>
        <w:widowControl/>
        <w:spacing w:line="400" w:lineRule="exact"/>
        <w:jc w:val="left"/>
        <w:rPr>
          <w:kern w:val="0"/>
          <w:highlight w:val="none"/>
        </w:rPr>
      </w:pPr>
      <w:r>
        <w:rPr>
          <w:b/>
          <w:highlight w:val="none"/>
        </w:rPr>
        <w:t>第十条</w:t>
      </w:r>
      <w:r>
        <w:rPr>
          <w:highlight w:val="none"/>
        </w:rPr>
        <w:t xml:space="preserve">  </w:t>
      </w:r>
      <w:r>
        <w:rPr>
          <w:kern w:val="0"/>
          <w:highlight w:val="none"/>
        </w:rPr>
        <w:t>A为综合素质评分、B为课程成绩加权平均分、C为科研成绩累计得分，二年级研究生学业奖学金评分依据为A＋B；三年级研究生学业奖学金评分依据为A＋C</w:t>
      </w:r>
      <w:r>
        <w:rPr>
          <w:rFonts w:hint="eastAsia"/>
          <w:kern w:val="0"/>
          <w:highlight w:val="none"/>
          <w:lang w:eastAsia="zh-CN"/>
        </w:rPr>
        <w:t>（</w:t>
      </w:r>
      <w:r>
        <w:rPr>
          <w:rFonts w:hint="eastAsia"/>
          <w:kern w:val="0"/>
          <w:highlight w:val="none"/>
          <w:lang w:val="en-US" w:eastAsia="zh-CN"/>
        </w:rPr>
        <w:t>两年制农业管理专业按照A+B+C执行</w:t>
      </w:r>
      <w:r>
        <w:rPr>
          <w:rFonts w:hint="eastAsia"/>
          <w:kern w:val="0"/>
          <w:highlight w:val="none"/>
          <w:lang w:eastAsia="zh-CN"/>
        </w:rPr>
        <w:t>）</w:t>
      </w:r>
      <w:r>
        <w:rPr>
          <w:kern w:val="0"/>
          <w:highlight w:val="none"/>
        </w:rPr>
        <w:t>。</w:t>
      </w:r>
    </w:p>
    <w:p>
      <w:pPr>
        <w:widowControl/>
        <w:autoSpaceDE w:val="0"/>
        <w:autoSpaceDN w:val="0"/>
        <w:adjustRightInd w:val="0"/>
        <w:spacing w:line="360" w:lineRule="auto"/>
        <w:jc w:val="left"/>
        <w:rPr>
          <w:kern w:val="1"/>
          <w:highlight w:val="none"/>
        </w:rPr>
      </w:pPr>
      <w:r>
        <w:rPr>
          <w:b/>
          <w:kern w:val="0"/>
          <w:highlight w:val="none"/>
        </w:rPr>
        <w:t>第十一条</w:t>
      </w:r>
      <w:r>
        <w:rPr>
          <w:kern w:val="0"/>
          <w:highlight w:val="none"/>
        </w:rPr>
        <w:t xml:space="preserve">  研究生综合素质A，总分为10分，由导师和辅导员分别组织打分。导师</w:t>
      </w:r>
      <w:r>
        <w:rPr>
          <w:spacing w:val="-8"/>
          <w:kern w:val="1"/>
          <w:highlight w:val="none"/>
        </w:rPr>
        <w:t>评分标准见附件1：《</w:t>
      </w:r>
      <w:r>
        <w:rPr>
          <w:kern w:val="0"/>
          <w:highlight w:val="none"/>
        </w:rPr>
        <w:t>研究生综合素质评价打分表》</w:t>
      </w:r>
      <w:r>
        <w:rPr>
          <w:spacing w:val="-8"/>
          <w:kern w:val="1"/>
          <w:highlight w:val="none"/>
        </w:rPr>
        <w:t>，辅导员评分依据研究生日常参与各类活动情况，导师和辅导员评分各占50%</w:t>
      </w:r>
      <w:r>
        <w:rPr>
          <w:highlight w:val="none"/>
        </w:rPr>
        <w:t>。</w:t>
      </w:r>
    </w:p>
    <w:p>
      <w:pPr>
        <w:widowControl/>
        <w:autoSpaceDE w:val="0"/>
        <w:autoSpaceDN w:val="0"/>
        <w:adjustRightInd w:val="0"/>
        <w:spacing w:line="360" w:lineRule="auto"/>
        <w:jc w:val="left"/>
        <w:rPr>
          <w:kern w:val="1"/>
          <w:highlight w:val="none"/>
        </w:rPr>
      </w:pPr>
      <w:r>
        <w:rPr>
          <w:b/>
          <w:kern w:val="0"/>
          <w:highlight w:val="none"/>
        </w:rPr>
        <w:t>第十二条</w:t>
      </w:r>
      <w:r>
        <w:rPr>
          <w:kern w:val="0"/>
          <w:highlight w:val="none"/>
        </w:rPr>
        <w:t xml:space="preserve">  </w:t>
      </w:r>
      <w:r>
        <w:rPr>
          <w:kern w:val="1"/>
          <w:highlight w:val="none"/>
        </w:rPr>
        <w:t>研究生课程加权平均成绩B，学院根据审核期间校园网-数字校园-研究生系统导出的加权平均成绩计分。研究生有一门课程（</w:t>
      </w:r>
      <w:r>
        <w:rPr>
          <w:rFonts w:hint="eastAsia"/>
          <w:kern w:val="1"/>
          <w:highlight w:val="none"/>
          <w:lang w:val="en-US" w:eastAsia="zh-CN"/>
        </w:rPr>
        <w:t>不</w:t>
      </w:r>
      <w:r>
        <w:rPr>
          <w:kern w:val="1"/>
          <w:highlight w:val="none"/>
        </w:rPr>
        <w:t>含学位英语）不及格，不能参评学业奖学金一等奖；有两门及以上课程（</w:t>
      </w:r>
      <w:r>
        <w:rPr>
          <w:rFonts w:hint="eastAsia"/>
          <w:kern w:val="1"/>
          <w:highlight w:val="none"/>
          <w:lang w:val="en-US" w:eastAsia="zh-CN"/>
        </w:rPr>
        <w:t>不</w:t>
      </w:r>
      <w:r>
        <w:rPr>
          <w:kern w:val="1"/>
          <w:highlight w:val="none"/>
        </w:rPr>
        <w:t>含学位英语）不及格，不能参评学业奖学金一、二等奖。</w:t>
      </w:r>
    </w:p>
    <w:p>
      <w:pPr>
        <w:widowControl/>
        <w:autoSpaceDE w:val="0"/>
        <w:autoSpaceDN w:val="0"/>
        <w:adjustRightInd w:val="0"/>
        <w:spacing w:line="360" w:lineRule="auto"/>
        <w:jc w:val="left"/>
        <w:rPr>
          <w:kern w:val="1"/>
          <w:highlight w:val="none"/>
        </w:rPr>
      </w:pPr>
      <w:r>
        <w:rPr>
          <w:b/>
          <w:kern w:val="1"/>
          <w:highlight w:val="none"/>
        </w:rPr>
        <w:t>第十三条</w:t>
      </w:r>
      <w:r>
        <w:rPr>
          <w:kern w:val="1"/>
          <w:highlight w:val="none"/>
        </w:rPr>
        <w:t xml:space="preserve">  研究生科研成绩C，按照附件2：《经济管理学院研究生科研成果计分表》进行科研计分。科研成果应为在培养类别就读期间、评选当年8月31日前见刊；与研究生本人专业相关或与学位论文相关；研究生本人为第一作者</w:t>
      </w:r>
      <w:r>
        <w:rPr>
          <w:rFonts w:hint="eastAsia"/>
          <w:kern w:val="1"/>
          <w:highlight w:val="none"/>
        </w:rPr>
        <w:t>（</w:t>
      </w:r>
      <w:r>
        <w:rPr>
          <w:kern w:val="1"/>
          <w:highlight w:val="none"/>
        </w:rPr>
        <w:t>如为共同第一作者，则科研成果只为一名作者加分，加分作者由导师认定</w:t>
      </w:r>
      <w:r>
        <w:rPr>
          <w:rFonts w:hint="eastAsia"/>
          <w:kern w:val="1"/>
          <w:highlight w:val="none"/>
        </w:rPr>
        <w:t>）</w:t>
      </w:r>
      <w:r>
        <w:rPr>
          <w:kern w:val="1"/>
          <w:highlight w:val="none"/>
        </w:rPr>
        <w:t>或研究生本人为第二作者，导师（研究生部认定）为第一作者的可认定计分；第一单位必须署名上海海洋大学；同一成果可归属多个计分项目的，只计最高分，不重复计分；经过审核后有效计分的科研成果，只能参与一次评奖计分。</w:t>
      </w:r>
    </w:p>
    <w:p>
      <w:pPr>
        <w:widowControl/>
        <w:autoSpaceDE w:val="0"/>
        <w:autoSpaceDN w:val="0"/>
        <w:adjustRightInd w:val="0"/>
        <w:spacing w:line="360" w:lineRule="auto"/>
        <w:jc w:val="left"/>
        <w:rPr>
          <w:kern w:val="0"/>
          <w:highlight w:val="none"/>
        </w:rPr>
      </w:pPr>
      <w:r>
        <w:rPr>
          <w:b/>
          <w:kern w:val="1"/>
          <w:highlight w:val="none"/>
        </w:rPr>
        <w:t>第十四条</w:t>
      </w:r>
      <w:r>
        <w:rPr>
          <w:kern w:val="1"/>
          <w:highlight w:val="none"/>
        </w:rPr>
        <w:t xml:space="preserve">  </w:t>
      </w:r>
      <w:r>
        <w:rPr>
          <w:highlight w:val="none"/>
        </w:rPr>
        <w:t>由导师或学校、学院出具佐证材料，并经学院研究生评奖评优委员会审定，凡出现下列情况之一者，在下学年的评定中只能享受四等学业奖学金。</w:t>
      </w:r>
    </w:p>
    <w:p>
      <w:pPr>
        <w:widowControl/>
        <w:spacing w:line="400" w:lineRule="exact"/>
        <w:jc w:val="left"/>
        <w:rPr>
          <w:highlight w:val="none"/>
        </w:rPr>
      </w:pPr>
      <w:r>
        <w:rPr>
          <w:highlight w:val="none"/>
        </w:rPr>
        <w:t>1</w:t>
      </w:r>
      <w:r>
        <w:rPr>
          <w:rFonts w:hint="eastAsia"/>
          <w:highlight w:val="none"/>
          <w:lang w:eastAsia="zh-CN"/>
        </w:rPr>
        <w:t>、</w:t>
      </w:r>
      <w:r>
        <w:rPr>
          <w:highlight w:val="none"/>
        </w:rPr>
        <w:t>无故不参加学校、学院组织的重大活动比例达40%以上者；</w:t>
      </w:r>
    </w:p>
    <w:p>
      <w:pPr>
        <w:widowControl/>
        <w:spacing w:line="400" w:lineRule="exact"/>
        <w:jc w:val="left"/>
        <w:rPr>
          <w:highlight w:val="none"/>
        </w:rPr>
      </w:pPr>
      <w:r>
        <w:rPr>
          <w:highlight w:val="none"/>
        </w:rPr>
        <w:t>2</w:t>
      </w:r>
      <w:r>
        <w:rPr>
          <w:rFonts w:hint="eastAsia"/>
          <w:highlight w:val="none"/>
          <w:lang w:eastAsia="zh-CN"/>
        </w:rPr>
        <w:t>、</w:t>
      </w:r>
      <w:r>
        <w:rPr>
          <w:highlight w:val="none"/>
        </w:rPr>
        <w:t>在导师实验室考核（勤）中未达到规定考核次数者；</w:t>
      </w:r>
    </w:p>
    <w:p>
      <w:pPr>
        <w:widowControl/>
        <w:spacing w:line="400" w:lineRule="exact"/>
        <w:jc w:val="left"/>
        <w:rPr>
          <w:highlight w:val="none"/>
        </w:rPr>
      </w:pPr>
      <w:r>
        <w:rPr>
          <w:highlight w:val="none"/>
        </w:rPr>
        <w:t>3</w:t>
      </w:r>
      <w:r>
        <w:rPr>
          <w:rFonts w:hint="eastAsia"/>
          <w:highlight w:val="none"/>
          <w:lang w:eastAsia="zh-CN"/>
        </w:rPr>
        <w:t>、</w:t>
      </w:r>
      <w:r>
        <w:rPr>
          <w:highlight w:val="none"/>
        </w:rPr>
        <w:t>外出超过7天未履行正常的请假手续一次及以上者；</w:t>
      </w:r>
    </w:p>
    <w:p>
      <w:pPr>
        <w:widowControl/>
        <w:spacing w:line="400" w:lineRule="exact"/>
        <w:jc w:val="left"/>
        <w:rPr>
          <w:highlight w:val="none"/>
        </w:rPr>
      </w:pPr>
      <w:r>
        <w:rPr>
          <w:highlight w:val="none"/>
        </w:rPr>
        <w:t>4</w:t>
      </w:r>
      <w:r>
        <w:rPr>
          <w:rFonts w:hint="eastAsia"/>
          <w:highlight w:val="none"/>
          <w:lang w:eastAsia="zh-CN"/>
        </w:rPr>
        <w:t>、</w:t>
      </w:r>
      <w:r>
        <w:rPr>
          <w:highlight w:val="none"/>
        </w:rPr>
        <w:t>党员无故缺席重要组织生活会2次以上，累计无故缺席党组织活动4次以上者；</w:t>
      </w:r>
    </w:p>
    <w:p>
      <w:pPr>
        <w:widowControl/>
        <w:spacing w:line="400" w:lineRule="exact"/>
        <w:jc w:val="left"/>
        <w:rPr>
          <w:highlight w:val="none"/>
        </w:rPr>
      </w:pPr>
      <w:r>
        <w:rPr>
          <w:highlight w:val="none"/>
        </w:rPr>
        <w:t>5</w:t>
      </w:r>
      <w:r>
        <w:rPr>
          <w:rFonts w:hint="eastAsia"/>
          <w:highlight w:val="none"/>
          <w:lang w:eastAsia="zh-CN"/>
        </w:rPr>
        <w:t>、</w:t>
      </w:r>
      <w:bookmarkStart w:id="0" w:name="_GoBack"/>
      <w:bookmarkEnd w:id="0"/>
      <w:r>
        <w:rPr>
          <w:highlight w:val="none"/>
        </w:rPr>
        <w:t>因自身原因中途更换导师者。</w:t>
      </w:r>
    </w:p>
    <w:p>
      <w:pPr>
        <w:widowControl/>
        <w:spacing w:line="400" w:lineRule="exact"/>
        <w:jc w:val="left"/>
        <w:rPr>
          <w:kern w:val="0"/>
          <w:szCs w:val="21"/>
          <w:highlight w:val="none"/>
        </w:rPr>
      </w:pPr>
      <w:r>
        <w:rPr>
          <w:b/>
          <w:kern w:val="0"/>
          <w:szCs w:val="21"/>
          <w:highlight w:val="none"/>
        </w:rPr>
        <w:t>第十五条</w:t>
      </w:r>
      <w:r>
        <w:rPr>
          <w:kern w:val="0"/>
          <w:szCs w:val="21"/>
          <w:highlight w:val="none"/>
        </w:rPr>
        <w:t xml:space="preserve">  成立上海海洋大学经济管理学院研究生学业奖学金评审委员会，本委员会具体负责制定、修订、审核上海海洋大学经济管理学院研究生学业奖学金实施细则，组织和评审每年的该项工作。委员会组成如下：</w:t>
      </w:r>
    </w:p>
    <w:p>
      <w:pPr>
        <w:widowControl/>
        <w:spacing w:line="400" w:lineRule="exact"/>
        <w:ind w:firstLine="420" w:firstLineChars="200"/>
        <w:jc w:val="left"/>
        <w:rPr>
          <w:kern w:val="0"/>
          <w:szCs w:val="21"/>
          <w:highlight w:val="none"/>
        </w:rPr>
      </w:pPr>
      <w:r>
        <w:rPr>
          <w:kern w:val="0"/>
          <w:szCs w:val="21"/>
          <w:highlight w:val="none"/>
        </w:rPr>
        <w:t xml:space="preserve">主任：院党委书记 </w:t>
      </w:r>
    </w:p>
    <w:p>
      <w:pPr>
        <w:widowControl/>
        <w:spacing w:line="400" w:lineRule="exact"/>
        <w:ind w:firstLine="420" w:firstLineChars="200"/>
        <w:jc w:val="left"/>
        <w:rPr>
          <w:kern w:val="0"/>
          <w:szCs w:val="21"/>
          <w:highlight w:val="none"/>
        </w:rPr>
      </w:pPr>
      <w:r>
        <w:rPr>
          <w:kern w:val="0"/>
          <w:szCs w:val="21"/>
          <w:highlight w:val="none"/>
        </w:rPr>
        <w:t>副主任：院科研副院长</w:t>
      </w:r>
    </w:p>
    <w:p>
      <w:pPr>
        <w:widowControl/>
        <w:spacing w:line="400" w:lineRule="exact"/>
        <w:ind w:firstLine="422"/>
        <w:jc w:val="left"/>
        <w:rPr>
          <w:kern w:val="0"/>
          <w:szCs w:val="21"/>
          <w:highlight w:val="none"/>
        </w:rPr>
      </w:pPr>
      <w:r>
        <w:rPr>
          <w:kern w:val="0"/>
          <w:szCs w:val="21"/>
          <w:highlight w:val="none"/>
        </w:rPr>
        <w:t>委员：研究生行政教育管理人员、研究生代表</w:t>
      </w:r>
    </w:p>
    <w:p>
      <w:pPr>
        <w:widowControl/>
        <w:spacing w:line="400" w:lineRule="exact"/>
        <w:jc w:val="left"/>
        <w:rPr>
          <w:kern w:val="0"/>
          <w:szCs w:val="21"/>
          <w:highlight w:val="none"/>
        </w:rPr>
      </w:pPr>
      <w:r>
        <w:rPr>
          <w:b/>
          <w:highlight w:val="none"/>
        </w:rPr>
        <w:t>第十六条</w:t>
      </w:r>
      <w:r>
        <w:rPr>
          <w:highlight w:val="none"/>
        </w:rPr>
        <w:t xml:space="preserve">  </w:t>
      </w:r>
      <w:r>
        <w:rPr>
          <w:kern w:val="0"/>
          <w:szCs w:val="21"/>
          <w:highlight w:val="none"/>
        </w:rPr>
        <w:t>研究生学业奖学金每年9月份受理。所有符合本办法规定条件的攻读硕士、博士学位的全日制在校研究生，均可申请。申请者需在通知的申请时段内向学院提交《上海海洋大学研究生学业奖学金申请表》，并附真实、有效的书面佐证材料。申请材料弄虚作假者，一经查实，将被取消评奖资格。</w:t>
      </w:r>
    </w:p>
    <w:p>
      <w:pPr>
        <w:widowControl/>
        <w:spacing w:line="400" w:lineRule="exact"/>
        <w:jc w:val="left"/>
        <w:rPr>
          <w:kern w:val="0"/>
          <w:highlight w:val="none"/>
        </w:rPr>
      </w:pPr>
      <w:r>
        <w:rPr>
          <w:b/>
          <w:kern w:val="0"/>
          <w:szCs w:val="21"/>
          <w:highlight w:val="none"/>
        </w:rPr>
        <w:t xml:space="preserve">第十七条  </w:t>
      </w:r>
      <w:r>
        <w:rPr>
          <w:kern w:val="0"/>
          <w:highlight w:val="none"/>
        </w:rPr>
        <w:t>学院评奖评优委员会进行审查，拟定各等级学业奖学金名单，在学院范围内公示不少于3个工作日，以接受师生监督。公示期内有异议者，由本学院评奖评优委员会及时研究并予以答复。无异议后，提交学校研究生学业奖学金评审领导小组审定。</w:t>
      </w:r>
    </w:p>
    <w:p>
      <w:pPr>
        <w:widowControl/>
        <w:spacing w:line="400" w:lineRule="exact"/>
        <w:jc w:val="left"/>
        <w:rPr>
          <w:b/>
          <w:highlight w:val="none"/>
        </w:rPr>
      </w:pPr>
      <w:r>
        <w:rPr>
          <w:b/>
          <w:highlight w:val="none"/>
        </w:rPr>
        <w:t xml:space="preserve">第十八条  </w:t>
      </w:r>
      <w:r>
        <w:rPr>
          <w:kern w:val="0"/>
          <w:highlight w:val="none"/>
        </w:rPr>
        <w:t>学校研究生学业奖学金评审领导小组根据各培养单位申报情况进行审定，并在全校范围内公示不少于2个工作日。公示期内有异议的，可向学校研究生学业奖学金评审领导小组申请裁决；公示无异议后，学校批准印发公文、制作证书和奖学金发放工作。</w:t>
      </w:r>
    </w:p>
    <w:p>
      <w:pPr>
        <w:widowControl/>
        <w:spacing w:before="156" w:beforeLines="50" w:after="156" w:afterLines="50" w:line="400" w:lineRule="exact"/>
        <w:jc w:val="left"/>
        <w:rPr>
          <w:b/>
          <w:bCs/>
          <w:kern w:val="0"/>
          <w:highlight w:val="none"/>
        </w:rPr>
      </w:pPr>
      <w:r>
        <w:rPr>
          <w:b/>
          <w:bCs/>
          <w:kern w:val="0"/>
          <w:highlight w:val="none"/>
        </w:rPr>
        <w:t xml:space="preserve">第十九条  </w:t>
      </w:r>
      <w:r>
        <w:rPr>
          <w:kern w:val="0"/>
          <w:highlight w:val="none"/>
        </w:rPr>
        <w:t>研究生学业奖学金的资金专款专用，接收校审计、监察等部门的监察和监督。</w:t>
      </w:r>
    </w:p>
    <w:p>
      <w:pPr>
        <w:widowControl/>
        <w:spacing w:line="400" w:lineRule="exact"/>
        <w:jc w:val="left"/>
        <w:rPr>
          <w:highlight w:val="none"/>
        </w:rPr>
      </w:pPr>
      <w:r>
        <w:rPr>
          <w:b/>
          <w:highlight w:val="none"/>
        </w:rPr>
        <w:t>第二十条</w:t>
      </w:r>
      <w:r>
        <w:rPr>
          <w:highlight w:val="none"/>
        </w:rPr>
        <w:t xml:space="preserve">  本办法自201</w:t>
      </w:r>
      <w:r>
        <w:rPr>
          <w:rFonts w:hint="eastAsia"/>
          <w:highlight w:val="none"/>
          <w:lang w:val="en-US" w:eastAsia="zh-CN"/>
        </w:rPr>
        <w:t>9</w:t>
      </w:r>
      <w:r>
        <w:rPr>
          <w:highlight w:val="none"/>
        </w:rPr>
        <w:t>年9月开始执行，若国家或学校有新的政策文件，以新政为准。</w:t>
      </w: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jc w:val="left"/>
        <w:rPr>
          <w:highlight w:val="none"/>
        </w:rPr>
      </w:pPr>
    </w:p>
    <w:p>
      <w:pPr>
        <w:widowControl/>
        <w:spacing w:after="156" w:afterLines="50" w:line="400" w:lineRule="exact"/>
        <w:rPr>
          <w:rFonts w:eastAsia="黑体"/>
          <w:b/>
          <w:bCs/>
          <w:kern w:val="0"/>
          <w:szCs w:val="21"/>
          <w:highlight w:val="none"/>
        </w:rPr>
      </w:pPr>
      <w:r>
        <w:rPr>
          <w:b/>
          <w:szCs w:val="21"/>
          <w:highlight w:val="none"/>
        </w:rPr>
        <w:t>附件1：</w:t>
      </w:r>
      <w:r>
        <w:rPr>
          <w:rFonts w:eastAsia="黑体"/>
          <w:b/>
          <w:bCs/>
          <w:kern w:val="0"/>
          <w:szCs w:val="21"/>
          <w:highlight w:val="none"/>
        </w:rPr>
        <w:t>研究生综合素质评价打分表</w:t>
      </w:r>
    </w:p>
    <w:tbl>
      <w:tblPr>
        <w:tblStyle w:val="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8"/>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评测指标</w:t>
            </w:r>
          </w:p>
        </w:tc>
        <w:tc>
          <w:tcPr>
            <w:tcW w:w="4287"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评分内容</w:t>
            </w:r>
          </w:p>
        </w:tc>
        <w:tc>
          <w:tcPr>
            <w:tcW w:w="109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w:t>
            </w:r>
            <w:r>
              <w:rPr>
                <w:b/>
                <w:bCs/>
                <w:kern w:val="0"/>
                <w:sz w:val="18"/>
                <w:szCs w:val="18"/>
                <w:highlight w:val="none"/>
              </w:rPr>
              <w:br w:type="textWrapping"/>
            </w:r>
            <w:r>
              <w:rPr>
                <w:b/>
                <w:bCs/>
                <w:kern w:val="0"/>
                <w:sz w:val="18"/>
                <w:szCs w:val="18"/>
                <w:highlight w:val="none"/>
              </w:rPr>
              <w:t>标准</w:t>
            </w:r>
          </w:p>
        </w:tc>
        <w:tc>
          <w:tcPr>
            <w:tcW w:w="1072" w:type="dxa"/>
            <w:gridSpan w:val="2"/>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2" w:type="dxa"/>
            <w:vMerge w:val="restart"/>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政治思想</w:t>
            </w:r>
          </w:p>
          <w:p>
            <w:pPr>
              <w:widowControl/>
              <w:spacing w:line="400" w:lineRule="exact"/>
              <w:jc w:val="center"/>
              <w:rPr>
                <w:b/>
                <w:bCs/>
                <w:kern w:val="0"/>
                <w:sz w:val="18"/>
                <w:szCs w:val="18"/>
                <w:highlight w:val="none"/>
              </w:rPr>
            </w:pPr>
            <w:r>
              <w:rPr>
                <w:b/>
                <w:bCs/>
                <w:kern w:val="0"/>
                <w:sz w:val="18"/>
                <w:szCs w:val="18"/>
                <w:highlight w:val="none"/>
              </w:rPr>
              <w:t>品德修养</w:t>
            </w:r>
          </w:p>
          <w:p>
            <w:pPr>
              <w:widowControl/>
              <w:spacing w:line="400" w:lineRule="exact"/>
              <w:jc w:val="center"/>
              <w:rPr>
                <w:b/>
                <w:bCs/>
                <w:kern w:val="0"/>
                <w:sz w:val="18"/>
                <w:szCs w:val="18"/>
                <w:highlight w:val="none"/>
              </w:rPr>
            </w:pPr>
            <w:r>
              <w:rPr>
                <w:b/>
                <w:bCs/>
                <w:kern w:val="0"/>
                <w:sz w:val="18"/>
                <w:szCs w:val="18"/>
                <w:highlight w:val="none"/>
              </w:rPr>
              <w:t>(4分)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政治立场坚定，拥护党的领导，坚持参加政治理论学习和党、团组织活动</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vMerge w:val="restart"/>
            <w:shd w:val="clear" w:color="auto" w:fill="auto"/>
            <w:vAlign w:val="center"/>
          </w:tcPr>
          <w:p>
            <w:pPr>
              <w:widowControl/>
              <w:spacing w:line="400" w:lineRule="exact"/>
              <w:jc w:val="left"/>
              <w:rPr>
                <w:kern w:val="0"/>
                <w:sz w:val="18"/>
                <w:szCs w:val="18"/>
                <w:highlight w:val="none"/>
              </w:rPr>
            </w:pPr>
            <w:r>
              <w:rPr>
                <w:kern w:val="0"/>
                <w:sz w:val="18"/>
                <w:szCs w:val="18"/>
                <w:highlight w:val="none"/>
              </w:rPr>
              <w:t>不传播不盲从社会谣言，维护和谐环境和校园稳定，关心国家大事</w:t>
            </w:r>
          </w:p>
        </w:tc>
        <w:tc>
          <w:tcPr>
            <w:tcW w:w="1092" w:type="dxa"/>
            <w:vMerge w:val="restart"/>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vMerge w:val="restart"/>
            <w:shd w:val="clear" w:color="auto" w:fill="auto"/>
            <w:vAlign w:val="center"/>
          </w:tcPr>
          <w:p>
            <w:pPr>
              <w:widowControl/>
              <w:spacing w:line="400" w:lineRule="exact"/>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vMerge w:val="continue"/>
            <w:vAlign w:val="center"/>
          </w:tcPr>
          <w:p>
            <w:pPr>
              <w:widowControl/>
              <w:spacing w:line="400" w:lineRule="exact"/>
              <w:jc w:val="left"/>
              <w:rPr>
                <w:kern w:val="0"/>
                <w:sz w:val="18"/>
                <w:szCs w:val="18"/>
                <w:highlight w:val="none"/>
              </w:rPr>
            </w:pPr>
          </w:p>
        </w:tc>
        <w:tc>
          <w:tcPr>
            <w:tcW w:w="1092" w:type="dxa"/>
            <w:vMerge w:val="continue"/>
            <w:vAlign w:val="center"/>
          </w:tcPr>
          <w:p>
            <w:pPr>
              <w:widowControl/>
              <w:spacing w:line="400" w:lineRule="exact"/>
              <w:jc w:val="left"/>
              <w:rPr>
                <w:kern w:val="0"/>
                <w:sz w:val="18"/>
                <w:szCs w:val="18"/>
                <w:highlight w:val="none"/>
              </w:rPr>
            </w:pPr>
          </w:p>
        </w:tc>
        <w:tc>
          <w:tcPr>
            <w:tcW w:w="1072" w:type="dxa"/>
            <w:gridSpan w:val="2"/>
            <w:vMerge w:val="continue"/>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遵纪守法，品行端正、作风正派</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待家人亲友和善热情，乐于助人、尊师重教</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vMerge w:val="restart"/>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身心健康</w:t>
            </w:r>
          </w:p>
          <w:p>
            <w:pPr>
              <w:widowControl/>
              <w:spacing w:line="400" w:lineRule="exact"/>
              <w:jc w:val="center"/>
              <w:rPr>
                <w:b/>
                <w:bCs/>
                <w:kern w:val="0"/>
                <w:sz w:val="18"/>
                <w:szCs w:val="18"/>
                <w:highlight w:val="none"/>
              </w:rPr>
            </w:pPr>
            <w:r>
              <w:rPr>
                <w:b/>
                <w:bCs/>
                <w:kern w:val="0"/>
                <w:sz w:val="18"/>
                <w:szCs w:val="18"/>
                <w:highlight w:val="none"/>
              </w:rPr>
              <w:t>(1分)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热爱生命，坚持体育锻炼，有健康的体质和生活方式</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0.5分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有积极、向上的健康心态，有良好的情绪调控能力和承受挫折的能力,社会适应良好、个体发展健康</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0.5分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082" w:type="dxa"/>
            <w:vMerge w:val="restart"/>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职业发展</w:t>
            </w:r>
          </w:p>
          <w:p>
            <w:pPr>
              <w:widowControl/>
              <w:spacing w:line="400" w:lineRule="exact"/>
              <w:jc w:val="center"/>
              <w:rPr>
                <w:b/>
                <w:bCs/>
                <w:kern w:val="0"/>
                <w:sz w:val="18"/>
                <w:szCs w:val="18"/>
                <w:highlight w:val="none"/>
              </w:rPr>
            </w:pPr>
            <w:r>
              <w:rPr>
                <w:b/>
                <w:bCs/>
                <w:kern w:val="0"/>
                <w:sz w:val="18"/>
                <w:szCs w:val="18"/>
                <w:highlight w:val="none"/>
              </w:rPr>
              <w:t>(1分)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学习目的明确，态度端正、学习能力突出、讲究学习方法，效果良好</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0.5分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vMerge w:val="restart"/>
            <w:shd w:val="clear" w:color="auto" w:fill="auto"/>
            <w:vAlign w:val="center"/>
          </w:tcPr>
          <w:p>
            <w:pPr>
              <w:widowControl/>
              <w:spacing w:line="400" w:lineRule="exact"/>
              <w:jc w:val="left"/>
              <w:rPr>
                <w:kern w:val="0"/>
                <w:sz w:val="18"/>
                <w:szCs w:val="18"/>
                <w:highlight w:val="none"/>
              </w:rPr>
            </w:pPr>
            <w:r>
              <w:rPr>
                <w:kern w:val="0"/>
                <w:sz w:val="18"/>
                <w:szCs w:val="18"/>
                <w:highlight w:val="none"/>
              </w:rPr>
              <w:t>积极参加各类培训和素质拓展活动，有一定的奋斗目标和职业生涯规划，就业能力强</w:t>
            </w:r>
          </w:p>
        </w:tc>
        <w:tc>
          <w:tcPr>
            <w:tcW w:w="1092" w:type="dxa"/>
            <w:vMerge w:val="restart"/>
            <w:shd w:val="clear" w:color="auto" w:fill="auto"/>
            <w:vAlign w:val="center"/>
          </w:tcPr>
          <w:p>
            <w:pPr>
              <w:widowControl/>
              <w:spacing w:line="400" w:lineRule="exact"/>
              <w:jc w:val="center"/>
              <w:rPr>
                <w:kern w:val="0"/>
                <w:sz w:val="18"/>
                <w:szCs w:val="18"/>
                <w:highlight w:val="none"/>
              </w:rPr>
            </w:pPr>
            <w:r>
              <w:rPr>
                <w:kern w:val="0"/>
                <w:sz w:val="18"/>
                <w:szCs w:val="18"/>
                <w:highlight w:val="none"/>
              </w:rPr>
              <w:t>0.5分</w:t>
            </w:r>
          </w:p>
        </w:tc>
        <w:tc>
          <w:tcPr>
            <w:tcW w:w="1072" w:type="dxa"/>
            <w:gridSpan w:val="2"/>
            <w:vMerge w:val="restart"/>
            <w:shd w:val="clear" w:color="auto" w:fill="auto"/>
            <w:vAlign w:val="center"/>
          </w:tcPr>
          <w:p>
            <w:pPr>
              <w:widowControl/>
              <w:spacing w:line="400" w:lineRule="exact"/>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082" w:type="dxa"/>
            <w:vMerge w:val="continue"/>
            <w:vAlign w:val="center"/>
          </w:tcPr>
          <w:p>
            <w:pPr>
              <w:widowControl/>
              <w:spacing w:line="400" w:lineRule="exact"/>
              <w:jc w:val="center"/>
              <w:rPr>
                <w:b/>
                <w:bCs/>
                <w:kern w:val="0"/>
                <w:sz w:val="18"/>
                <w:szCs w:val="18"/>
                <w:highlight w:val="none"/>
              </w:rPr>
            </w:pPr>
          </w:p>
        </w:tc>
        <w:tc>
          <w:tcPr>
            <w:tcW w:w="4287" w:type="dxa"/>
            <w:vMerge w:val="continue"/>
            <w:vAlign w:val="center"/>
          </w:tcPr>
          <w:p>
            <w:pPr>
              <w:widowControl/>
              <w:spacing w:line="400" w:lineRule="exact"/>
              <w:jc w:val="left"/>
              <w:rPr>
                <w:kern w:val="0"/>
                <w:sz w:val="18"/>
                <w:szCs w:val="18"/>
                <w:highlight w:val="none"/>
              </w:rPr>
            </w:pPr>
          </w:p>
        </w:tc>
        <w:tc>
          <w:tcPr>
            <w:tcW w:w="1092" w:type="dxa"/>
            <w:vMerge w:val="continue"/>
            <w:vAlign w:val="center"/>
          </w:tcPr>
          <w:p>
            <w:pPr>
              <w:widowControl/>
              <w:spacing w:line="400" w:lineRule="exact"/>
              <w:jc w:val="left"/>
              <w:rPr>
                <w:kern w:val="0"/>
                <w:sz w:val="18"/>
                <w:szCs w:val="18"/>
                <w:highlight w:val="none"/>
              </w:rPr>
            </w:pPr>
          </w:p>
        </w:tc>
        <w:tc>
          <w:tcPr>
            <w:tcW w:w="1072" w:type="dxa"/>
            <w:gridSpan w:val="2"/>
            <w:vMerge w:val="continue"/>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vMerge w:val="restart"/>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社会工作</w:t>
            </w:r>
          </w:p>
          <w:p>
            <w:pPr>
              <w:widowControl/>
              <w:spacing w:line="400" w:lineRule="exact"/>
              <w:jc w:val="center"/>
              <w:rPr>
                <w:b/>
                <w:bCs/>
                <w:kern w:val="0"/>
                <w:sz w:val="18"/>
                <w:szCs w:val="18"/>
                <w:highlight w:val="none"/>
              </w:rPr>
            </w:pPr>
            <w:r>
              <w:rPr>
                <w:b/>
                <w:bCs/>
                <w:kern w:val="0"/>
                <w:sz w:val="18"/>
                <w:szCs w:val="18"/>
                <w:highlight w:val="none"/>
              </w:rPr>
              <w:t>(4分)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担任社会工作职位、工作出色满意度高</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vMerge w:val="continue"/>
            <w:vAlign w:val="center"/>
          </w:tcPr>
          <w:p>
            <w:pPr>
              <w:widowControl/>
              <w:spacing w:line="400" w:lineRule="exact"/>
              <w:jc w:val="left"/>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在易班上活跃、关心集体</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Merge w:val="continue"/>
            <w:vAlign w:val="center"/>
          </w:tcPr>
          <w:p>
            <w:pPr>
              <w:widowControl/>
              <w:spacing w:line="400" w:lineRule="exact"/>
              <w:jc w:val="left"/>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党员充分发挥模范带头作用，入党积极分子思想上行动上均积极向党组织靠拢，群众积极参与组织安排的各项活动,为集体作出一定贡献</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082" w:type="dxa"/>
            <w:vMerge w:val="continue"/>
            <w:vAlign w:val="center"/>
          </w:tcPr>
          <w:p>
            <w:pPr>
              <w:widowControl/>
              <w:spacing w:line="400" w:lineRule="exact"/>
              <w:jc w:val="left"/>
              <w:rPr>
                <w:b/>
                <w:bCs/>
                <w:kern w:val="0"/>
                <w:sz w:val="18"/>
                <w:szCs w:val="18"/>
                <w:highlight w:val="none"/>
              </w:rPr>
            </w:pP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参与公益活动和志愿者服务</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gridSpan w:val="2"/>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082" w:type="dxa"/>
            <w:shd w:val="clear" w:color="auto" w:fill="auto"/>
            <w:vAlign w:val="center"/>
          </w:tcPr>
          <w:p>
            <w:pPr>
              <w:widowControl/>
              <w:spacing w:line="400" w:lineRule="exact"/>
              <w:jc w:val="center"/>
              <w:rPr>
                <w:b/>
                <w:bCs/>
                <w:kern w:val="0"/>
                <w:szCs w:val="21"/>
                <w:highlight w:val="none"/>
              </w:rPr>
            </w:pPr>
            <w:r>
              <w:rPr>
                <w:b/>
                <w:bCs/>
                <w:kern w:val="0"/>
                <w:szCs w:val="21"/>
                <w:highlight w:val="none"/>
              </w:rPr>
              <w:t>总分</w:t>
            </w:r>
          </w:p>
        </w:tc>
        <w:tc>
          <w:tcPr>
            <w:tcW w:w="5397" w:type="dxa"/>
            <w:gridSpan w:val="3"/>
            <w:shd w:val="clear" w:color="auto" w:fill="auto"/>
            <w:noWrap/>
            <w:vAlign w:val="center"/>
          </w:tcPr>
          <w:p>
            <w:pPr>
              <w:widowControl/>
              <w:spacing w:line="400" w:lineRule="exact"/>
              <w:jc w:val="center"/>
              <w:rPr>
                <w:kern w:val="0"/>
                <w:sz w:val="18"/>
                <w:szCs w:val="18"/>
                <w:highlight w:val="none"/>
              </w:rPr>
            </w:pPr>
            <w:r>
              <w:rPr>
                <w:kern w:val="0"/>
                <w:sz w:val="18"/>
                <w:szCs w:val="18"/>
                <w:highlight w:val="none"/>
              </w:rPr>
              <w:t>10分</w:t>
            </w:r>
          </w:p>
        </w:tc>
        <w:tc>
          <w:tcPr>
            <w:tcW w:w="1054" w:type="dxa"/>
            <w:shd w:val="clear" w:color="auto" w:fill="auto"/>
            <w:vAlign w:val="center"/>
          </w:tcPr>
          <w:p>
            <w:pPr>
              <w:widowControl/>
              <w:spacing w:line="400" w:lineRule="exact"/>
              <w:jc w:val="center"/>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shd w:val="clear" w:color="auto" w:fill="auto"/>
            <w:vAlign w:val="center"/>
          </w:tcPr>
          <w:p>
            <w:pPr>
              <w:widowControl/>
              <w:spacing w:line="400" w:lineRule="exact"/>
              <w:jc w:val="center"/>
              <w:rPr>
                <w:b/>
                <w:bCs/>
                <w:kern w:val="0"/>
                <w:szCs w:val="21"/>
                <w:highlight w:val="none"/>
              </w:rPr>
            </w:pPr>
            <w:r>
              <w:rPr>
                <w:b/>
                <w:bCs/>
                <w:kern w:val="0"/>
                <w:szCs w:val="21"/>
                <w:highlight w:val="none"/>
              </w:rPr>
              <w:t>导师推荐意见</w:t>
            </w:r>
          </w:p>
        </w:tc>
        <w:tc>
          <w:tcPr>
            <w:tcW w:w="6451" w:type="dxa"/>
            <w:gridSpan w:val="4"/>
            <w:shd w:val="clear" w:color="auto" w:fill="auto"/>
            <w:noWrap/>
            <w:vAlign w:val="center"/>
          </w:tcPr>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wordWrap w:val="0"/>
              <w:spacing w:line="400" w:lineRule="exact"/>
              <w:jc w:val="right"/>
              <w:rPr>
                <w:b/>
                <w:kern w:val="0"/>
                <w:sz w:val="18"/>
                <w:szCs w:val="18"/>
                <w:highlight w:val="none"/>
              </w:rPr>
            </w:pPr>
            <w:r>
              <w:rPr>
                <w:rFonts w:hint="eastAsia"/>
                <w:b/>
                <w:kern w:val="0"/>
                <w:sz w:val="18"/>
                <w:szCs w:val="18"/>
                <w:highlight w:val="none"/>
              </w:rPr>
              <w:t>导师签名：                                         年      月      日</w:t>
            </w:r>
          </w:p>
        </w:tc>
      </w:tr>
    </w:tbl>
    <w:p>
      <w:pPr>
        <w:spacing w:before="156" w:beforeLines="50" w:after="156" w:afterLines="50" w:line="360" w:lineRule="auto"/>
        <w:rPr>
          <w:b/>
          <w:bCs/>
          <w:highlight w:val="none"/>
        </w:rPr>
      </w:pPr>
      <w:r>
        <w:rPr>
          <w:b/>
          <w:bCs/>
          <w:highlight w:val="none"/>
        </w:rPr>
        <w:t>附件2：经济管理学院研究生科研成果计分表（C）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176"/>
        <w:gridCol w:w="567"/>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exact"/>
        </w:trPr>
        <w:tc>
          <w:tcPr>
            <w:tcW w:w="46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highlight w:val="none"/>
              </w:rPr>
            </w:pPr>
            <w:r>
              <w:rPr>
                <w:sz w:val="18"/>
                <w:highlight w:val="none"/>
              </w:rPr>
              <w:t>项目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highlight w:val="none"/>
              </w:rPr>
            </w:pPr>
            <w:r>
              <w:rPr>
                <w:sz w:val="18"/>
                <w:highlight w:val="none"/>
              </w:rPr>
              <w:t>分值</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highlight w:val="none"/>
              </w:rPr>
            </w:pPr>
            <w:r>
              <w:rPr>
                <w:sz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科</w:t>
            </w:r>
          </w:p>
          <w:p>
            <w:pPr>
              <w:spacing w:line="360" w:lineRule="auto"/>
              <w:jc w:val="center"/>
              <w:rPr>
                <w:sz w:val="18"/>
                <w:szCs w:val="18"/>
                <w:highlight w:val="none"/>
              </w:rPr>
            </w:pPr>
            <w:r>
              <w:rPr>
                <w:sz w:val="18"/>
                <w:szCs w:val="18"/>
                <w:highlight w:val="none"/>
              </w:rPr>
              <w:t>研</w:t>
            </w:r>
          </w:p>
          <w:p>
            <w:pPr>
              <w:spacing w:line="360" w:lineRule="auto"/>
              <w:jc w:val="center"/>
              <w:rPr>
                <w:sz w:val="18"/>
                <w:szCs w:val="18"/>
                <w:highlight w:val="none"/>
              </w:rPr>
            </w:pPr>
            <w:r>
              <w:rPr>
                <w:sz w:val="18"/>
                <w:szCs w:val="18"/>
                <w:highlight w:val="none"/>
              </w:rPr>
              <w:t>成果</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国家级成果奖（自然科学奖、科技进步奖、技术发明奖、哲社成果奖、决策咨询奖）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100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highlight w:val="none"/>
              </w:rPr>
            </w:pPr>
            <w:r>
              <w:rPr>
                <w:sz w:val="18"/>
                <w:szCs w:val="18"/>
                <w:highlight w:val="none"/>
              </w:rPr>
              <w:t>为主要完成人（前6名），排名第6之后者，排名每退后1位，加分分值减少50%。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部委、省市级成果奖（同上）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50</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获得发明专利（有证书）</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30</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highlight w:val="none"/>
              </w:rPr>
            </w:pPr>
            <w:r>
              <w:rPr>
                <w:sz w:val="18"/>
                <w:szCs w:val="18"/>
                <w:highlight w:val="none"/>
              </w:rPr>
              <w:t>为第一完成人或第二完成人（第一完成人为导师）加全分，第二完成人（第一完成人非导师）分值减半，第三完成人分值再减半。排名第四完成人以后（含第四）不计分。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right w:val="single" w:color="auto" w:sz="4" w:space="0"/>
            </w:tcBorders>
            <w:vAlign w:val="center"/>
          </w:tcPr>
          <w:p>
            <w:pPr>
              <w:spacing w:line="360" w:lineRule="auto"/>
              <w:rPr>
                <w:spacing w:val="-10"/>
                <w:sz w:val="18"/>
                <w:szCs w:val="18"/>
                <w:highlight w:val="none"/>
              </w:rPr>
            </w:pPr>
            <w:r>
              <w:rPr>
                <w:spacing w:val="-10"/>
                <w:sz w:val="18"/>
                <w:szCs w:val="18"/>
                <w:highlight w:val="none"/>
              </w:rPr>
              <w:t>获得实用新型专利、外观设计专利或软件著作权（有证书）</w:t>
            </w:r>
          </w:p>
        </w:tc>
        <w:tc>
          <w:tcPr>
            <w:tcW w:w="567" w:type="dxa"/>
            <w:tcBorders>
              <w:top w:val="single" w:color="auto" w:sz="4" w:space="0"/>
              <w:left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6</w:t>
            </w:r>
          </w:p>
        </w:tc>
        <w:tc>
          <w:tcPr>
            <w:tcW w:w="3261" w:type="dxa"/>
            <w:vMerge w:val="continue"/>
            <w:tcBorders>
              <w:left w:val="single" w:color="auto" w:sz="4" w:space="0"/>
              <w:right w:val="single" w:color="auto" w:sz="4" w:space="0"/>
            </w:tcBorders>
            <w:vAlign w:val="center"/>
          </w:tcPr>
          <w:p>
            <w:pPr>
              <w:spacing w:line="360" w:lineRule="auto"/>
              <w:ind w:left="-106" w:hanging="1"/>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学</w:t>
            </w:r>
          </w:p>
          <w:p>
            <w:pPr>
              <w:spacing w:line="360" w:lineRule="auto"/>
              <w:jc w:val="center"/>
              <w:rPr>
                <w:sz w:val="18"/>
                <w:szCs w:val="18"/>
                <w:highlight w:val="none"/>
              </w:rPr>
            </w:pPr>
            <w:r>
              <w:rPr>
                <w:sz w:val="18"/>
                <w:szCs w:val="18"/>
                <w:highlight w:val="none"/>
              </w:rPr>
              <w:t>术</w:t>
            </w:r>
          </w:p>
          <w:p>
            <w:pPr>
              <w:spacing w:line="360" w:lineRule="auto"/>
              <w:jc w:val="center"/>
              <w:rPr>
                <w:sz w:val="18"/>
                <w:szCs w:val="18"/>
                <w:highlight w:val="none"/>
              </w:rPr>
            </w:pPr>
            <w:r>
              <w:rPr>
                <w:sz w:val="18"/>
                <w:szCs w:val="18"/>
                <w:highlight w:val="none"/>
              </w:rPr>
              <w:t>交</w:t>
            </w:r>
          </w:p>
          <w:p>
            <w:pPr>
              <w:spacing w:line="360" w:lineRule="auto"/>
              <w:jc w:val="center"/>
              <w:rPr>
                <w:sz w:val="18"/>
                <w:szCs w:val="18"/>
                <w:highlight w:val="none"/>
              </w:rPr>
            </w:pPr>
            <w:r>
              <w:rPr>
                <w:sz w:val="18"/>
                <w:szCs w:val="18"/>
                <w:highlight w:val="none"/>
              </w:rPr>
              <w:t>流</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rFonts w:hint="eastAsia"/>
                <w:sz w:val="18"/>
                <w:szCs w:val="18"/>
                <w:highlight w:val="none"/>
              </w:rPr>
              <w:t>赴境外参加学术会议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rFonts w:hint="eastAsia"/>
                <w:sz w:val="18"/>
                <w:szCs w:val="18"/>
                <w:highlight w:val="none"/>
              </w:rPr>
              <w:t>5</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highlight w:val="none"/>
              </w:rPr>
            </w:pPr>
            <w:r>
              <w:rPr>
                <w:rFonts w:hint="eastAsia"/>
                <w:sz w:val="18"/>
                <w:szCs w:val="18"/>
                <w:highlight w:val="none"/>
              </w:rPr>
              <w:t>1. 境外学术会议、境内国际性学术会议、全国性学术会议交流得分总体不超过10分；</w:t>
            </w:r>
          </w:p>
          <w:p>
            <w:pPr>
              <w:spacing w:line="360" w:lineRule="auto"/>
              <w:rPr>
                <w:sz w:val="18"/>
                <w:szCs w:val="18"/>
                <w:highlight w:val="none"/>
              </w:rPr>
            </w:pPr>
            <w:r>
              <w:rPr>
                <w:rFonts w:hint="eastAsia"/>
                <w:sz w:val="18"/>
                <w:szCs w:val="18"/>
                <w:highlight w:val="none"/>
              </w:rPr>
              <w:t xml:space="preserve">2. </w:t>
            </w:r>
            <w:r>
              <w:rPr>
                <w:sz w:val="18"/>
                <w:szCs w:val="18"/>
                <w:highlight w:val="none"/>
              </w:rPr>
              <w:t>作为正式代表参加，并在大会上宣读论文加全分</w:t>
            </w:r>
            <w:r>
              <w:rPr>
                <w:rFonts w:hint="eastAsia"/>
                <w:sz w:val="18"/>
                <w:szCs w:val="18"/>
                <w:highlight w:val="none"/>
              </w:rPr>
              <w:t>；</w:t>
            </w:r>
          </w:p>
          <w:p>
            <w:pPr>
              <w:spacing w:line="360" w:lineRule="auto"/>
              <w:rPr>
                <w:sz w:val="18"/>
                <w:szCs w:val="18"/>
                <w:highlight w:val="none"/>
              </w:rPr>
            </w:pPr>
            <w:r>
              <w:rPr>
                <w:rFonts w:hint="eastAsia"/>
                <w:sz w:val="18"/>
                <w:szCs w:val="18"/>
                <w:highlight w:val="none"/>
              </w:rPr>
              <w:t xml:space="preserve">3. </w:t>
            </w:r>
            <w:r>
              <w:rPr>
                <w:sz w:val="18"/>
                <w:szCs w:val="18"/>
                <w:highlight w:val="none"/>
              </w:rPr>
              <w:t>论文获奖再加2分</w:t>
            </w:r>
            <w:r>
              <w:rPr>
                <w:rFonts w:hint="eastAsia"/>
                <w:sz w:val="18"/>
                <w:szCs w:val="18"/>
                <w:highlight w:val="none"/>
              </w:rPr>
              <w:t>；</w:t>
            </w:r>
          </w:p>
          <w:p>
            <w:pPr>
              <w:spacing w:line="360" w:lineRule="auto"/>
              <w:rPr>
                <w:sz w:val="18"/>
                <w:szCs w:val="18"/>
                <w:highlight w:val="none"/>
              </w:rPr>
            </w:pPr>
            <w:r>
              <w:rPr>
                <w:rFonts w:hint="eastAsia"/>
                <w:sz w:val="18"/>
                <w:szCs w:val="18"/>
                <w:highlight w:val="none"/>
              </w:rPr>
              <w:t xml:space="preserve">4. </w:t>
            </w:r>
            <w:r>
              <w:rPr>
                <w:sz w:val="18"/>
                <w:szCs w:val="18"/>
                <w:highlight w:val="none"/>
              </w:rPr>
              <w:t>外语宣读论文再加1分</w:t>
            </w:r>
            <w:r>
              <w:rPr>
                <w:rFonts w:hint="eastAsia"/>
                <w:sz w:val="18"/>
                <w:szCs w:val="18"/>
                <w:highlight w:val="none"/>
              </w:rPr>
              <w:t>；</w:t>
            </w:r>
          </w:p>
          <w:p>
            <w:pPr>
              <w:spacing w:line="360" w:lineRule="auto"/>
              <w:rPr>
                <w:sz w:val="18"/>
                <w:szCs w:val="18"/>
                <w:highlight w:val="none"/>
              </w:rPr>
            </w:pPr>
            <w:r>
              <w:rPr>
                <w:rFonts w:hint="eastAsia"/>
                <w:sz w:val="18"/>
                <w:szCs w:val="18"/>
                <w:highlight w:val="none"/>
              </w:rPr>
              <w:t xml:space="preserve">5. </w:t>
            </w:r>
            <w:r>
              <w:rPr>
                <w:sz w:val="18"/>
                <w:szCs w:val="18"/>
                <w:highlight w:val="none"/>
              </w:rPr>
              <w:t>仅为论文或摘要收录，分值减半。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参加全国性学术会议</w:t>
            </w:r>
            <w:r>
              <w:rPr>
                <w:rFonts w:hint="eastAsia"/>
                <w:sz w:val="18"/>
                <w:szCs w:val="18"/>
                <w:highlight w:val="none"/>
              </w:rPr>
              <w:t>（含境内召开的国际性学术会议）</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rFonts w:hint="eastAsia"/>
                <w:sz w:val="18"/>
                <w:szCs w:val="18"/>
                <w:highlight w:val="none"/>
              </w:rPr>
              <w:t>3</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vMerge w:val="restart"/>
            <w:tcBorders>
              <w:top w:val="single" w:color="auto" w:sz="4" w:space="0"/>
              <w:left w:val="single" w:color="auto" w:sz="4" w:space="0"/>
              <w:right w:val="single" w:color="auto" w:sz="4" w:space="0"/>
            </w:tcBorders>
            <w:vAlign w:val="center"/>
          </w:tcPr>
          <w:p>
            <w:pPr>
              <w:spacing w:line="360" w:lineRule="auto"/>
              <w:rPr>
                <w:sz w:val="18"/>
                <w:szCs w:val="18"/>
                <w:highlight w:val="none"/>
              </w:rPr>
            </w:pPr>
            <w:r>
              <w:rPr>
                <w:sz w:val="18"/>
                <w:szCs w:val="18"/>
                <w:highlight w:val="none"/>
              </w:rPr>
              <w:t>上海市（或其他省市级）研究生学术论坛、校（联合培养单位）研究生论文报告会</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4</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2</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w:t>
            </w:r>
          </w:p>
        </w:tc>
        <w:tc>
          <w:tcPr>
            <w:tcW w:w="3261" w:type="dxa"/>
            <w:tcBorders>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kern w:val="0"/>
                <w:sz w:val="18"/>
                <w:szCs w:val="18"/>
                <w:highlight w:val="none"/>
              </w:rPr>
            </w:pPr>
            <w:r>
              <w:rPr>
                <w:kern w:val="0"/>
                <w:sz w:val="18"/>
                <w:szCs w:val="18"/>
                <w:highlight w:val="none"/>
              </w:rPr>
              <w:t>研究论</w:t>
            </w:r>
          </w:p>
          <w:p>
            <w:pPr>
              <w:spacing w:line="360" w:lineRule="auto"/>
              <w:jc w:val="center"/>
              <w:rPr>
                <w:kern w:val="0"/>
                <w:sz w:val="18"/>
                <w:szCs w:val="18"/>
                <w:highlight w:val="none"/>
              </w:rPr>
            </w:pPr>
            <w:r>
              <w:rPr>
                <w:kern w:val="0"/>
                <w:sz w:val="18"/>
                <w:szCs w:val="18"/>
                <w:highlight w:val="none"/>
              </w:rPr>
              <w:t>文</w:t>
            </w:r>
          </w:p>
          <w:p>
            <w:pPr>
              <w:spacing w:line="360" w:lineRule="auto"/>
              <w:jc w:val="center"/>
              <w:rPr>
                <w:kern w:val="0"/>
                <w:sz w:val="18"/>
                <w:szCs w:val="18"/>
                <w:highlight w:val="none"/>
              </w:rPr>
            </w:pPr>
            <w:r>
              <w:rPr>
                <w:kern w:val="0"/>
                <w:sz w:val="18"/>
                <w:szCs w:val="18"/>
                <w:highlight w:val="none"/>
              </w:rPr>
              <w:t>发</w:t>
            </w:r>
          </w:p>
          <w:p>
            <w:pPr>
              <w:spacing w:line="360" w:lineRule="auto"/>
              <w:jc w:val="center"/>
              <w:rPr>
                <w:sz w:val="18"/>
                <w:szCs w:val="18"/>
                <w:highlight w:val="none"/>
              </w:rPr>
            </w:pPr>
            <w:r>
              <w:rPr>
                <w:kern w:val="0"/>
                <w:sz w:val="18"/>
                <w:szCs w:val="18"/>
                <w:highlight w:val="none"/>
              </w:rPr>
              <w:t>表</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论文被SCI</w:t>
            </w:r>
            <w:r>
              <w:rPr>
                <w:rFonts w:hint="eastAsia"/>
                <w:sz w:val="18"/>
                <w:szCs w:val="18"/>
                <w:highlight w:val="none"/>
              </w:rPr>
              <w:t>、SSCI收录</w:t>
            </w:r>
            <w:r>
              <w:rPr>
                <w:sz w:val="18"/>
                <w:szCs w:val="18"/>
                <w:highlight w:val="none"/>
              </w:rPr>
              <w:t>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50</w:t>
            </w:r>
          </w:p>
        </w:tc>
        <w:tc>
          <w:tcPr>
            <w:tcW w:w="3261" w:type="dxa"/>
            <w:vMerge w:val="restart"/>
            <w:tcBorders>
              <w:top w:val="single" w:color="auto" w:sz="4" w:space="0"/>
              <w:left w:val="single" w:color="auto" w:sz="4" w:space="0"/>
              <w:right w:val="single" w:color="auto" w:sz="4" w:space="0"/>
            </w:tcBorders>
            <w:vAlign w:val="center"/>
          </w:tcPr>
          <w:p>
            <w:pPr>
              <w:wordWrap w:val="0"/>
              <w:spacing w:line="360" w:lineRule="auto"/>
              <w:jc w:val="left"/>
              <w:rPr>
                <w:sz w:val="18"/>
                <w:szCs w:val="18"/>
                <w:highlight w:val="none"/>
              </w:rPr>
            </w:pPr>
            <w:r>
              <w:rPr>
                <w:sz w:val="18"/>
                <w:szCs w:val="18"/>
                <w:highlight w:val="none"/>
              </w:rPr>
              <w:t>1.</w:t>
            </w:r>
            <w:r>
              <w:rPr>
                <w:rFonts w:hint="eastAsia"/>
                <w:sz w:val="18"/>
                <w:szCs w:val="18"/>
                <w:highlight w:val="none"/>
              </w:rPr>
              <w:t xml:space="preserve"> </w:t>
            </w:r>
            <w:r>
              <w:rPr>
                <w:sz w:val="18"/>
                <w:szCs w:val="18"/>
                <w:highlight w:val="none"/>
              </w:rPr>
              <w:t>查询以图书馆</w:t>
            </w:r>
            <w:r>
              <w:rPr>
                <w:highlight w:val="none"/>
              </w:rPr>
              <w:fldChar w:fldCharType="begin"/>
            </w:r>
            <w:r>
              <w:rPr>
                <w:highlight w:val="none"/>
              </w:rPr>
              <w:instrText xml:space="preserve"> HYPERLINK "http://202.121.66.120:808/url_xd.asp?cid=16&amp;typeid=9062&amp;link=http%3a%2f%2fe-resource.shou.edu.cn%2flogin%3furl%3dhttp%3a%2f%2fwww.webofknowledge.com%2f" \t "_blank" \o "Web of Science" </w:instrText>
            </w:r>
            <w:r>
              <w:rPr>
                <w:highlight w:val="none"/>
              </w:rPr>
              <w:fldChar w:fldCharType="separate"/>
            </w:r>
            <w:r>
              <w:rPr>
                <w:sz w:val="18"/>
                <w:szCs w:val="18"/>
                <w:highlight w:val="none"/>
              </w:rPr>
              <w:t>Web of Science</w:t>
            </w:r>
            <w:r>
              <w:rPr>
                <w:sz w:val="18"/>
                <w:szCs w:val="18"/>
                <w:highlight w:val="none"/>
              </w:rPr>
              <w:fldChar w:fldCharType="end"/>
            </w:r>
            <w:r>
              <w:rPr>
                <w:sz w:val="18"/>
                <w:szCs w:val="18"/>
                <w:highlight w:val="none"/>
              </w:rPr>
              <w:t>数据库为准，查询网址为：</w:t>
            </w:r>
          </w:p>
          <w:p>
            <w:pPr>
              <w:spacing w:line="360" w:lineRule="auto"/>
              <w:ind w:left="-2" w:leftChars="-1"/>
              <w:rPr>
                <w:sz w:val="18"/>
                <w:szCs w:val="18"/>
                <w:highlight w:val="none"/>
              </w:rPr>
            </w:pPr>
            <w:r>
              <w:rPr>
                <w:sz w:val="18"/>
                <w:szCs w:val="18"/>
                <w:highlight w:val="none"/>
              </w:rPr>
              <w:t>http://apps.webofknowledge.com/UA_GeneralSearch_input.do?product=UA&amp;search_mode=GeneralSearch&amp;SID=S1pl1t9GaudUaVHsecN&amp;preferencesSaved=；影响因子以最新年度SCI公布为准；须加附本校图书馆有效检索证明，验原件，交复印件</w:t>
            </w:r>
            <w:r>
              <w:rPr>
                <w:rFonts w:hint="eastAsia"/>
                <w:sz w:val="18"/>
                <w:szCs w:val="18"/>
                <w:highlight w:val="none"/>
              </w:rPr>
              <w:t>；</w:t>
            </w:r>
          </w:p>
          <w:p>
            <w:pPr>
              <w:spacing w:line="360" w:lineRule="auto"/>
              <w:ind w:left="-2" w:leftChars="-1"/>
              <w:rPr>
                <w:sz w:val="18"/>
                <w:szCs w:val="18"/>
                <w:highlight w:val="none"/>
              </w:rPr>
            </w:pPr>
            <w:r>
              <w:rPr>
                <w:sz w:val="18"/>
                <w:szCs w:val="18"/>
                <w:highlight w:val="none"/>
              </w:rPr>
              <w:t>2.</w:t>
            </w:r>
            <w:r>
              <w:rPr>
                <w:rFonts w:hint="eastAsia"/>
                <w:sz w:val="18"/>
                <w:szCs w:val="18"/>
                <w:highlight w:val="none"/>
              </w:rPr>
              <w:t xml:space="preserve"> </w:t>
            </w:r>
            <w:r>
              <w:rPr>
                <w:sz w:val="18"/>
                <w:szCs w:val="18"/>
                <w:highlight w:val="none"/>
              </w:rPr>
              <w:t>SSCI、EI、ISTP、A&amp;H须加附本校图书馆的EI英文期刊论文检索证明，验原件，交复印件</w:t>
            </w:r>
            <w:r>
              <w:rPr>
                <w:rFonts w:hint="eastAsia"/>
                <w:sz w:val="18"/>
                <w:szCs w:val="18"/>
                <w:highlight w:val="none"/>
              </w:rPr>
              <w:t>；</w:t>
            </w:r>
          </w:p>
          <w:p>
            <w:pPr>
              <w:spacing w:line="360" w:lineRule="auto"/>
              <w:ind w:left="-2" w:leftChars="-1"/>
              <w:rPr>
                <w:sz w:val="18"/>
                <w:szCs w:val="18"/>
                <w:highlight w:val="none"/>
              </w:rPr>
            </w:pPr>
            <w:r>
              <w:rPr>
                <w:sz w:val="18"/>
                <w:szCs w:val="18"/>
                <w:highlight w:val="none"/>
              </w:rPr>
              <w:t>3.</w:t>
            </w:r>
            <w:r>
              <w:rPr>
                <w:rFonts w:hint="eastAsia"/>
                <w:sz w:val="18"/>
                <w:szCs w:val="18"/>
                <w:highlight w:val="none"/>
              </w:rPr>
              <w:t xml:space="preserve"> </w:t>
            </w:r>
            <w:r>
              <w:rPr>
                <w:sz w:val="18"/>
                <w:szCs w:val="18"/>
                <w:highlight w:val="none"/>
              </w:rPr>
              <w:t>以第一作者或第二作者且导师为第一作者发表在公开发行刊物（有ISSN号）的论文有效；增刊、专刊无效</w:t>
            </w:r>
            <w:r>
              <w:rPr>
                <w:rFonts w:hint="eastAsia"/>
                <w:sz w:val="18"/>
                <w:szCs w:val="18"/>
                <w:highlight w:val="none"/>
              </w:rPr>
              <w:t>；</w:t>
            </w:r>
            <w:r>
              <w:rPr>
                <w:sz w:val="18"/>
                <w:szCs w:val="18"/>
                <w:highlight w:val="none"/>
              </w:rPr>
              <w:t>正式发表的论文有效，收录证明无效</w:t>
            </w:r>
            <w:r>
              <w:rPr>
                <w:rFonts w:hint="eastAsia"/>
                <w:sz w:val="18"/>
                <w:szCs w:val="18"/>
                <w:highlight w:val="none"/>
              </w:rPr>
              <w:t>；</w:t>
            </w:r>
          </w:p>
          <w:p>
            <w:pPr>
              <w:spacing w:line="360" w:lineRule="auto"/>
              <w:rPr>
                <w:sz w:val="18"/>
                <w:szCs w:val="18"/>
                <w:highlight w:val="none"/>
              </w:rPr>
            </w:pPr>
            <w:r>
              <w:rPr>
                <w:rFonts w:hint="eastAsia"/>
                <w:sz w:val="18"/>
                <w:szCs w:val="18"/>
                <w:highlight w:val="none"/>
              </w:rPr>
              <w:t>4</w:t>
            </w:r>
            <w:r>
              <w:rPr>
                <w:sz w:val="18"/>
                <w:szCs w:val="18"/>
                <w:highlight w:val="none"/>
              </w:rPr>
              <w:t>.</w:t>
            </w:r>
            <w:r>
              <w:rPr>
                <w:rFonts w:hint="eastAsia"/>
                <w:sz w:val="18"/>
                <w:szCs w:val="18"/>
                <w:highlight w:val="none"/>
              </w:rPr>
              <w:t xml:space="preserve"> </w:t>
            </w:r>
            <w:r>
              <w:rPr>
                <w:sz w:val="18"/>
                <w:szCs w:val="18"/>
                <w:highlight w:val="none"/>
              </w:rPr>
              <w:t>以外文发表的论文加1分</w:t>
            </w:r>
            <w:r>
              <w:rPr>
                <w:rFonts w:hint="eastAsia"/>
                <w:sz w:val="18"/>
                <w:szCs w:val="18"/>
                <w:highlight w:val="none"/>
              </w:rPr>
              <w:t>；</w:t>
            </w:r>
          </w:p>
          <w:p>
            <w:pPr>
              <w:spacing w:line="360" w:lineRule="auto"/>
              <w:rPr>
                <w:sz w:val="18"/>
                <w:szCs w:val="18"/>
                <w:highlight w:val="none"/>
              </w:rPr>
            </w:pPr>
            <w:r>
              <w:rPr>
                <w:rFonts w:hint="eastAsia"/>
                <w:sz w:val="18"/>
                <w:szCs w:val="18"/>
                <w:highlight w:val="none"/>
              </w:rPr>
              <w:t>5. 同一期刊分属不同库源得分以最高分计，不重复计分。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论文被EI、ISTP、A&amp;H收录期刊正式公开发表（不含会议论文）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5"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kern w:val="0"/>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highlight w:val="none"/>
              </w:rPr>
            </w:pPr>
            <w:r>
              <w:rPr>
                <w:sz w:val="18"/>
                <w:szCs w:val="18"/>
                <w:highlight w:val="none"/>
              </w:rPr>
              <w:t>在CSCD核心库或CSSCI核心库收录的刊物上发表论文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20</w:t>
            </w:r>
          </w:p>
        </w:tc>
        <w:tc>
          <w:tcPr>
            <w:tcW w:w="3261" w:type="dxa"/>
            <w:vMerge w:val="continue"/>
            <w:tcBorders>
              <w:top w:val="single" w:color="auto" w:sz="4" w:space="0"/>
              <w:left w:val="single" w:color="auto" w:sz="4" w:space="0"/>
              <w:right w:val="single" w:color="auto" w:sz="4" w:space="0"/>
            </w:tcBorders>
            <w:vAlign w:val="center"/>
          </w:tcPr>
          <w:p>
            <w:pPr>
              <w:spacing w:line="360" w:lineRule="auto"/>
              <w:ind w:left="-2" w:leftChars="-1"/>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z w:val="18"/>
                <w:szCs w:val="18"/>
                <w:highlight w:val="none"/>
              </w:rPr>
            </w:pPr>
            <w:r>
              <w:rPr>
                <w:rFonts w:hint="eastAsia"/>
                <w:sz w:val="18"/>
                <w:szCs w:val="18"/>
                <w:highlight w:val="none"/>
              </w:rPr>
              <w:t>论文</w:t>
            </w:r>
            <w:r>
              <w:rPr>
                <w:sz w:val="18"/>
                <w:szCs w:val="18"/>
                <w:highlight w:val="none"/>
              </w:rPr>
              <w:t>被EI、ISTP、A&amp;H收录的会议论文或者增刊、网络版发表</w:t>
            </w:r>
            <w:r>
              <w:rPr>
                <w:rFonts w:hint="eastAsia"/>
                <w:sz w:val="18"/>
                <w:szCs w:val="18"/>
                <w:highlight w:val="none"/>
              </w:rPr>
              <w:t>；论文被其他外文期刊正式公开发表（有ISBN</w:t>
            </w:r>
            <w:r>
              <w:rPr>
                <w:rFonts w:hint="eastAsia"/>
                <w:highlight w:val="none"/>
              </w:rPr>
              <w:t>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eastAsia="宋体"/>
                <w:sz w:val="18"/>
                <w:szCs w:val="18"/>
                <w:highlight w:val="none"/>
                <w:lang w:eastAsia="zh-CN"/>
              </w:rPr>
            </w:pPr>
            <w:r>
              <w:rPr>
                <w:rFonts w:hint="eastAsia"/>
                <w:sz w:val="18"/>
                <w:szCs w:val="18"/>
                <w:highlight w:val="none"/>
                <w:lang w:val="en-US" w:eastAsia="zh-CN"/>
              </w:rPr>
              <w:t>5</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highlight w:val="none"/>
              </w:rPr>
            </w:pPr>
            <w:r>
              <w:rPr>
                <w:spacing w:val="-8"/>
                <w:sz w:val="18"/>
                <w:szCs w:val="18"/>
                <w:highlight w:val="none"/>
              </w:rPr>
              <w:t>在CSCD扩展库收录的刊物上发表论文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468" w:type="dxa"/>
            <w:vMerge w:val="continue"/>
            <w:tcBorders>
              <w:left w:val="single" w:color="auto" w:sz="4" w:space="0"/>
              <w:right w:val="single" w:color="auto" w:sz="4" w:space="0"/>
            </w:tcBorders>
            <w:vAlign w:val="center"/>
          </w:tcPr>
          <w:p>
            <w:pPr>
              <w:spacing w:line="360" w:lineRule="auto"/>
              <w:jc w:val="center"/>
              <w:rPr>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spacing w:val="-8"/>
                <w:sz w:val="18"/>
                <w:szCs w:val="18"/>
                <w:highlight w:val="none"/>
              </w:rPr>
            </w:pPr>
            <w:r>
              <w:rPr>
                <w:rFonts w:hint="eastAsia"/>
                <w:spacing w:val="-8"/>
                <w:sz w:val="18"/>
                <w:szCs w:val="18"/>
                <w:highlight w:val="none"/>
                <w:lang w:val="en-US" w:eastAsia="zh-CN"/>
              </w:rPr>
              <w:t>在</w:t>
            </w:r>
            <w:r>
              <w:rPr>
                <w:sz w:val="18"/>
                <w:szCs w:val="18"/>
                <w:highlight w:val="none"/>
              </w:rPr>
              <w:t>CSSCI扩展库</w:t>
            </w:r>
            <w:r>
              <w:rPr>
                <w:spacing w:val="-8"/>
                <w:sz w:val="18"/>
                <w:szCs w:val="18"/>
                <w:highlight w:val="none"/>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pacing w:val="-8"/>
                <w:sz w:val="18"/>
                <w:szCs w:val="18"/>
                <w:highlight w:val="none"/>
                <w:lang w:val="en-US" w:eastAsia="zh-CN"/>
              </w:rPr>
            </w:pPr>
            <w:r>
              <w:rPr>
                <w:rFonts w:hint="eastAsia"/>
                <w:spacing w:val="-8"/>
                <w:sz w:val="18"/>
                <w:szCs w:val="18"/>
                <w:highlight w:val="none"/>
                <w:lang w:val="en-US" w:eastAsia="zh-CN"/>
              </w:rPr>
              <w:t>15</w:t>
            </w:r>
          </w:p>
        </w:tc>
        <w:tc>
          <w:tcPr>
            <w:tcW w:w="3261" w:type="dxa"/>
            <w:vMerge w:val="continue"/>
            <w:tcBorders>
              <w:left w:val="single" w:color="auto" w:sz="4" w:space="0"/>
              <w:right w:val="single" w:color="auto" w:sz="4" w:space="0"/>
            </w:tcBorders>
            <w:shd w:val="clear" w:color="auto" w:fill="auto"/>
            <w:vAlign w:val="center"/>
          </w:tcPr>
          <w:p>
            <w:pPr>
              <w:spacing w:line="360" w:lineRule="auto"/>
              <w:jc w:val="center"/>
              <w:rPr>
                <w:spacing w:val="-8"/>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ind w:right="-94"/>
              <w:rPr>
                <w:spacing w:val="-8"/>
                <w:sz w:val="18"/>
                <w:szCs w:val="18"/>
                <w:highlight w:val="none"/>
              </w:rPr>
            </w:pPr>
            <w:r>
              <w:rPr>
                <w:spacing w:val="-8"/>
                <w:sz w:val="18"/>
                <w:szCs w:val="18"/>
                <w:highlight w:val="none"/>
              </w:rPr>
              <w:t>在北大核心</w:t>
            </w:r>
            <w:r>
              <w:rPr>
                <w:sz w:val="18"/>
                <w:szCs w:val="18"/>
                <w:highlight w:val="none"/>
              </w:rPr>
              <w:t>库</w:t>
            </w:r>
            <w:r>
              <w:rPr>
                <w:spacing w:val="-8"/>
                <w:sz w:val="18"/>
                <w:szCs w:val="18"/>
                <w:highlight w:val="none"/>
              </w:rPr>
              <w:t>收录的刊物上发表论文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宋体"/>
                <w:sz w:val="18"/>
                <w:szCs w:val="18"/>
                <w:highlight w:val="none"/>
                <w:lang w:val="en-US" w:eastAsia="zh-CN"/>
              </w:rPr>
            </w:pPr>
            <w:r>
              <w:rPr>
                <w:rFonts w:hint="eastAsia"/>
                <w:sz w:val="18"/>
                <w:szCs w:val="18"/>
                <w:highlight w:val="none"/>
                <w:lang w:val="en-US" w:eastAsia="zh-CN"/>
              </w:rPr>
              <w:t>10</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在《中国渔业经济》、《上海管理科学》、《海洋经济》、《海洋开发与管理》正式刊物上发表论文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2</w:t>
            </w:r>
          </w:p>
        </w:tc>
        <w:tc>
          <w:tcPr>
            <w:tcW w:w="3261" w:type="dxa"/>
            <w:vMerge w:val="continue"/>
            <w:tcBorders>
              <w:left w:val="single" w:color="auto" w:sz="4" w:space="0"/>
              <w:right w:val="single" w:color="auto" w:sz="4" w:space="0"/>
            </w:tcBorders>
            <w:shd w:val="clear" w:color="auto" w:fill="auto"/>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468" w:type="dxa"/>
            <w:vMerge w:val="continue"/>
            <w:tcBorders>
              <w:left w:val="single" w:color="auto" w:sz="4" w:space="0"/>
              <w:bottom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在其他刊物上发表论文</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w:t>
            </w:r>
          </w:p>
        </w:tc>
        <w:tc>
          <w:tcPr>
            <w:tcW w:w="3261"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exact"/>
        </w:trPr>
        <w:tc>
          <w:tcPr>
            <w:tcW w:w="468" w:type="dxa"/>
            <w:vMerge w:val="restart"/>
            <w:tcBorders>
              <w:top w:val="single" w:color="auto" w:sz="4" w:space="0"/>
              <w:left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科创获奖情况</w:t>
            </w: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国家级A类或国际级赛事一等奖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6</w:t>
            </w:r>
          </w:p>
        </w:tc>
        <w:tc>
          <w:tcPr>
            <w:tcW w:w="3261" w:type="dxa"/>
            <w:vMerge w:val="restart"/>
            <w:tcBorders>
              <w:top w:val="single" w:color="auto" w:sz="4" w:space="0"/>
              <w:left w:val="single" w:color="auto" w:sz="4" w:space="0"/>
              <w:right w:val="single" w:color="auto" w:sz="4" w:space="0"/>
            </w:tcBorders>
            <w:vAlign w:val="center"/>
          </w:tcPr>
          <w:p>
            <w:pPr>
              <w:spacing w:line="360" w:lineRule="auto"/>
              <w:rPr>
                <w:sz w:val="18"/>
                <w:szCs w:val="18"/>
                <w:highlight w:val="none"/>
              </w:rPr>
            </w:pPr>
            <w:r>
              <w:rPr>
                <w:sz w:val="18"/>
                <w:szCs w:val="18"/>
                <w:highlight w:val="none"/>
              </w:rPr>
              <w:t>1.</w:t>
            </w:r>
            <w:r>
              <w:rPr>
                <w:rFonts w:hint="eastAsia"/>
                <w:sz w:val="18"/>
                <w:szCs w:val="18"/>
                <w:highlight w:val="none"/>
              </w:rPr>
              <w:t xml:space="preserve"> 该得分为个人得分，不分排名先后</w:t>
            </w:r>
            <w:r>
              <w:rPr>
                <w:sz w:val="18"/>
                <w:szCs w:val="18"/>
                <w:highlight w:val="none"/>
              </w:rPr>
              <w:t>；</w:t>
            </w:r>
          </w:p>
          <w:p>
            <w:pPr>
              <w:spacing w:line="360" w:lineRule="auto"/>
              <w:rPr>
                <w:sz w:val="18"/>
                <w:szCs w:val="18"/>
                <w:highlight w:val="none"/>
              </w:rPr>
            </w:pPr>
            <w:r>
              <w:rPr>
                <w:sz w:val="18"/>
                <w:szCs w:val="18"/>
                <w:highlight w:val="none"/>
              </w:rPr>
              <w:t>2. 各赛事如设特等奖，并获得特等奖，</w:t>
            </w:r>
            <w:r>
              <w:rPr>
                <w:rFonts w:hint="eastAsia"/>
                <w:sz w:val="18"/>
                <w:szCs w:val="18"/>
                <w:highlight w:val="none"/>
              </w:rPr>
              <w:t>得</w:t>
            </w:r>
            <w:r>
              <w:rPr>
                <w:sz w:val="18"/>
                <w:szCs w:val="18"/>
                <w:highlight w:val="none"/>
              </w:rPr>
              <w:t>分</w:t>
            </w:r>
            <w:r>
              <w:rPr>
                <w:rFonts w:hint="eastAsia"/>
                <w:sz w:val="18"/>
                <w:szCs w:val="18"/>
                <w:highlight w:val="none"/>
              </w:rPr>
              <w:t>首先</w:t>
            </w:r>
            <w:r>
              <w:rPr>
                <w:sz w:val="18"/>
                <w:szCs w:val="18"/>
                <w:highlight w:val="none"/>
              </w:rPr>
              <w:t>上浮20%；</w:t>
            </w:r>
          </w:p>
          <w:p>
            <w:pPr>
              <w:spacing w:line="360" w:lineRule="auto"/>
              <w:rPr>
                <w:rFonts w:hint="eastAsia"/>
                <w:sz w:val="18"/>
                <w:szCs w:val="18"/>
                <w:highlight w:val="none"/>
              </w:rPr>
            </w:pPr>
            <w:r>
              <w:rPr>
                <w:rFonts w:hint="eastAsia"/>
                <w:sz w:val="18"/>
                <w:szCs w:val="18"/>
                <w:highlight w:val="none"/>
              </w:rPr>
              <w:t>3. 若以团队参赛并担任团队负责人，得分为单人得分的2倍；</w:t>
            </w:r>
          </w:p>
          <w:p>
            <w:pPr>
              <w:spacing w:line="360" w:lineRule="auto"/>
              <w:rPr>
                <w:rFonts w:hint="eastAsia"/>
                <w:sz w:val="18"/>
                <w:szCs w:val="18"/>
                <w:highlight w:val="none"/>
              </w:rPr>
            </w:pPr>
            <w:r>
              <w:rPr>
                <w:rFonts w:hint="eastAsia"/>
                <w:sz w:val="18"/>
                <w:szCs w:val="18"/>
                <w:highlight w:val="none"/>
              </w:rPr>
              <w:t>4</w:t>
            </w:r>
            <w:r>
              <w:rPr>
                <w:sz w:val="18"/>
                <w:szCs w:val="18"/>
                <w:highlight w:val="none"/>
              </w:rPr>
              <w:t>. 赛事分类以学校教务处（团委）每年发布数据为准</w:t>
            </w:r>
            <w:r>
              <w:rPr>
                <w:rFonts w:hint="eastAsia"/>
                <w:sz w:val="18"/>
                <w:szCs w:val="18"/>
                <w:highlight w:val="none"/>
              </w:rPr>
              <w:t>；</w:t>
            </w:r>
          </w:p>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国家级A类或国际级赛事二等奖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468" w:type="dxa"/>
            <w:vMerge w:val="continue"/>
            <w:tcBorders>
              <w:top w:val="single" w:color="auto" w:sz="4" w:space="0"/>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国家级A类或国际级赛事三等奖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4</w:t>
            </w:r>
          </w:p>
        </w:tc>
        <w:tc>
          <w:tcPr>
            <w:tcW w:w="3261" w:type="dxa"/>
            <w:vMerge w:val="continue"/>
            <w:tcBorders>
              <w:top w:val="single" w:color="auto" w:sz="4" w:space="0"/>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国家级B类赛事一等奖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国家级B类赛事二等奖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4</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pStyle w:val="2"/>
              <w:spacing w:line="360" w:lineRule="auto"/>
              <w:rPr>
                <w:rFonts w:ascii="Times New Roman" w:hAnsi="Times New Roman" w:cs="Times New Roman"/>
                <w:sz w:val="18"/>
                <w:szCs w:val="18"/>
                <w:highlight w:val="none"/>
              </w:rPr>
            </w:pPr>
            <w:r>
              <w:rPr>
                <w:rFonts w:ascii="Times New Roman" w:hAnsi="Times New Roman" w:cs="Times New Roman"/>
                <w:sz w:val="18"/>
                <w:szCs w:val="18"/>
                <w:highlight w:val="none"/>
              </w:rPr>
              <w:t>国家级B类赛事三等奖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CellMar>
            <w:top w:w="0" w:type="dxa"/>
            <w:left w:w="108" w:type="dxa"/>
            <w:bottom w:w="0" w:type="dxa"/>
            <w:right w:w="108" w:type="dxa"/>
          </w:tblCellMar>
        </w:tblPrEx>
        <w:trPr>
          <w:cantSplit/>
          <w:trHeight w:val="861"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国家级C类赛事、上海市市级赛事一等奖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4</w:t>
            </w:r>
          </w:p>
        </w:tc>
        <w:tc>
          <w:tcPr>
            <w:tcW w:w="3261" w:type="dxa"/>
            <w:vMerge w:val="restart"/>
            <w:tcBorders>
              <w:left w:val="single" w:color="auto" w:sz="4" w:space="0"/>
              <w:right w:val="single" w:color="auto" w:sz="4" w:space="0"/>
            </w:tcBorders>
            <w:vAlign w:val="center"/>
          </w:tcPr>
          <w:p>
            <w:pPr>
              <w:spacing w:line="360" w:lineRule="auto"/>
              <w:rPr>
                <w:rFonts w:hint="eastAsia"/>
                <w:sz w:val="18"/>
                <w:szCs w:val="18"/>
                <w:highlight w:val="none"/>
              </w:rPr>
            </w:pPr>
            <w:r>
              <w:rPr>
                <w:rFonts w:hint="eastAsia"/>
                <w:sz w:val="18"/>
                <w:szCs w:val="18"/>
                <w:highlight w:val="none"/>
                <w:lang w:val="en-US" w:eastAsia="zh-CN"/>
              </w:rPr>
              <w:t>5.</w:t>
            </w:r>
            <w:r>
              <w:rPr>
                <w:rFonts w:hint="eastAsia"/>
                <w:sz w:val="18"/>
                <w:szCs w:val="18"/>
                <w:highlight w:val="none"/>
              </w:rPr>
              <w:t>国家级A类或国际级赛事中仅获得省市级奖项者得分按国家级C类赛事、上海市市级赛事分值计算；</w:t>
            </w:r>
          </w:p>
          <w:p>
            <w:pPr>
              <w:spacing w:line="360" w:lineRule="auto"/>
              <w:rPr>
                <w:rFonts w:hint="eastAsia"/>
                <w:sz w:val="18"/>
                <w:szCs w:val="18"/>
                <w:highlight w:val="none"/>
              </w:rPr>
            </w:pPr>
            <w:r>
              <w:rPr>
                <w:rFonts w:hint="eastAsia"/>
                <w:sz w:val="18"/>
                <w:szCs w:val="18"/>
                <w:highlight w:val="none"/>
              </w:rPr>
              <w:t>6. 同一赛事分别获得不同级别奖项得</w:t>
            </w:r>
          </w:p>
          <w:p>
            <w:pPr>
              <w:widowControl w:val="0"/>
              <w:numPr>
                <w:ilvl w:val="0"/>
                <w:numId w:val="0"/>
              </w:numPr>
              <w:spacing w:line="360" w:lineRule="auto"/>
              <w:jc w:val="both"/>
              <w:rPr>
                <w:rFonts w:hint="eastAsia"/>
                <w:sz w:val="18"/>
                <w:szCs w:val="18"/>
                <w:highlight w:val="none"/>
              </w:rPr>
            </w:pPr>
            <w:r>
              <w:rPr>
                <w:rFonts w:hint="eastAsia"/>
                <w:sz w:val="18"/>
                <w:szCs w:val="18"/>
                <w:highlight w:val="none"/>
              </w:rPr>
              <w:t>分以最高分计，不重复计分。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国家级C类赛事、上海市市级赛事二等奖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国家级C类赛事、上海市市级赛事三等奖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2</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上海海洋大学校级赛事一等奖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上海海洋大学校级赛事二等奖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2</w:t>
            </w:r>
          </w:p>
        </w:tc>
        <w:tc>
          <w:tcPr>
            <w:tcW w:w="3261" w:type="dxa"/>
            <w:vMerge w:val="continue"/>
            <w:tcBorders>
              <w:left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468" w:type="dxa"/>
            <w:vMerge w:val="continue"/>
            <w:tcBorders>
              <w:left w:val="single" w:color="auto" w:sz="4" w:space="0"/>
              <w:right w:val="single" w:color="auto" w:sz="4" w:space="0"/>
            </w:tcBorders>
            <w:vAlign w:val="center"/>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上海海洋大学校级赛事三等奖</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w:t>
            </w:r>
          </w:p>
        </w:tc>
        <w:tc>
          <w:tcPr>
            <w:tcW w:w="3261" w:type="dxa"/>
            <w:vMerge w:val="continue"/>
            <w:tcBorders>
              <w:left w:val="single" w:color="auto" w:sz="4" w:space="0"/>
              <w:bottom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kern w:val="0"/>
                <w:sz w:val="18"/>
                <w:szCs w:val="18"/>
                <w:highlight w:val="none"/>
              </w:rPr>
              <w:t>其它</w:t>
            </w: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出版专著</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5</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个人完成其中3万字以上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个人完成其中3万字以下</w:t>
            </w:r>
          </w:p>
        </w:tc>
      </w:tr>
      <w:tr>
        <w:tblPrEx>
          <w:tblCellMar>
            <w:top w:w="0" w:type="dxa"/>
            <w:left w:w="108" w:type="dxa"/>
            <w:bottom w:w="0" w:type="dxa"/>
            <w:right w:w="108" w:type="dxa"/>
          </w:tblCellMar>
        </w:tblPrEx>
        <w:trPr>
          <w:cantSplit/>
          <w:trHeight w:val="852"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出版教材</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ind w:left="-120" w:right="-107"/>
              <w:jc w:val="center"/>
              <w:rPr>
                <w:sz w:val="18"/>
                <w:szCs w:val="18"/>
                <w:highlight w:val="none"/>
              </w:rPr>
            </w:pPr>
            <w:r>
              <w:rPr>
                <w:sz w:val="18"/>
                <w:szCs w:val="18"/>
                <w:highlight w:val="none"/>
              </w:rPr>
              <w:t>2分/章</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41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编撰辞典</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8</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被列为主编或副主编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41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3</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被列为主要撰写人并完成其中10个条目以上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exact"/>
        </w:trPr>
        <w:tc>
          <w:tcPr>
            <w:tcW w:w="468" w:type="dxa"/>
            <w:vMerge w:val="restart"/>
            <w:tcBorders>
              <w:top w:val="single" w:color="auto" w:sz="4" w:space="0"/>
              <w:left w:val="single" w:color="auto" w:sz="4" w:space="0"/>
              <w:right w:val="single" w:color="auto" w:sz="4" w:space="0"/>
            </w:tcBorders>
          </w:tcPr>
          <w:p>
            <w:pPr>
              <w:spacing w:line="360" w:lineRule="auto"/>
              <w:jc w:val="center"/>
              <w:rPr>
                <w:sz w:val="18"/>
                <w:szCs w:val="18"/>
                <w:highlight w:val="none"/>
              </w:rPr>
            </w:pPr>
            <w:r>
              <w:rPr>
                <w:sz w:val="18"/>
                <w:szCs w:val="18"/>
                <w:highlight w:val="none"/>
              </w:rPr>
              <w:t>培养环节</w:t>
            </w: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文献综述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trPr>
        <w:tc>
          <w:tcPr>
            <w:tcW w:w="468" w:type="dxa"/>
            <w:vMerge w:val="continue"/>
            <w:tcBorders>
              <w:left w:val="single" w:color="auto" w:sz="4" w:space="0"/>
              <w:right w:val="single" w:color="auto" w:sz="4" w:space="0"/>
            </w:tcBorders>
          </w:tcPr>
          <w:p>
            <w:pPr>
              <w:spacing w:line="360" w:lineRule="auto"/>
              <w:jc w:val="center"/>
              <w:rPr>
                <w:sz w:val="18"/>
                <w:szCs w:val="18"/>
                <w:highlight w:val="none"/>
              </w:rPr>
            </w:pPr>
          </w:p>
        </w:tc>
        <w:tc>
          <w:tcPr>
            <w:tcW w:w="4176"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开题报告</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18"/>
                <w:szCs w:val="18"/>
                <w:highlight w:val="none"/>
              </w:rPr>
            </w:pPr>
            <w:r>
              <w:rPr>
                <w:sz w:val="18"/>
                <w:szCs w:val="18"/>
                <w:highlight w:val="none"/>
              </w:rPr>
              <w:t>1</w:t>
            </w:r>
          </w:p>
        </w:tc>
        <w:tc>
          <w:tcPr>
            <w:tcW w:w="3261" w:type="dxa"/>
            <w:tcBorders>
              <w:top w:val="single" w:color="auto" w:sz="4" w:space="0"/>
              <w:left w:val="single" w:color="auto" w:sz="4" w:space="0"/>
              <w:bottom w:val="single" w:color="auto" w:sz="4" w:space="0"/>
              <w:right w:val="single" w:color="auto" w:sz="4" w:space="0"/>
            </w:tcBorders>
            <w:vAlign w:val="center"/>
          </w:tcPr>
          <w:p>
            <w:pPr>
              <w:spacing w:line="360" w:lineRule="auto"/>
              <w:rPr>
                <w:sz w:val="18"/>
                <w:szCs w:val="18"/>
                <w:highlight w:val="none"/>
              </w:rPr>
            </w:pPr>
            <w:r>
              <w:rPr>
                <w:sz w:val="18"/>
                <w:szCs w:val="18"/>
                <w:highlight w:val="none"/>
              </w:rPr>
              <w:t>优</w:t>
            </w:r>
          </w:p>
        </w:tc>
      </w:tr>
    </w:tbl>
    <w:p>
      <w:pPr>
        <w:spacing w:before="156" w:beforeLines="50" w:after="156" w:afterLines="50" w:line="360" w:lineRule="auto"/>
        <w:rPr>
          <w:b/>
          <w:bCs/>
          <w:highlight w:val="none"/>
        </w:rPr>
      </w:pPr>
    </w:p>
    <w:p>
      <w:pPr>
        <w:spacing w:before="156" w:beforeLines="50" w:after="156" w:afterLines="50" w:line="360" w:lineRule="auto"/>
        <w:rPr>
          <w:b/>
          <w:bCs/>
          <w:highlight w:val="none"/>
        </w:rPr>
      </w:pPr>
    </w:p>
    <w:p>
      <w:pPr>
        <w:spacing w:before="156" w:beforeLines="50" w:after="156" w:afterLines="50" w:line="360" w:lineRule="auto"/>
        <w:rPr>
          <w:b/>
          <w:bCs/>
          <w:highlight w:val="none"/>
        </w:rPr>
      </w:pPr>
    </w:p>
    <w:p>
      <w:pPr>
        <w:spacing w:before="156" w:beforeLines="50" w:after="156" w:afterLines="50" w:line="360" w:lineRule="auto"/>
        <w:rPr>
          <w:b/>
          <w:bCs/>
          <w:highlight w:val="none"/>
        </w:rPr>
      </w:pPr>
    </w:p>
    <w:p>
      <w:pPr>
        <w:spacing w:before="156" w:beforeLines="50" w:after="156" w:afterLines="50" w:line="360" w:lineRule="auto"/>
        <w:rPr>
          <w:rFonts w:ascii="黑体" w:hAnsi="黑体" w:eastAsia="黑体" w:cs="黑体"/>
          <w:b/>
          <w:bCs/>
          <w:sz w:val="32"/>
          <w:szCs w:val="32"/>
          <w:highlight w:val="none"/>
        </w:rPr>
      </w:pPr>
      <w:r>
        <w:rPr>
          <w:rFonts w:hint="eastAsia" w:ascii="黑体" w:hAnsi="黑体" w:eastAsia="黑体" w:cs="黑体"/>
          <w:b/>
          <w:bCs/>
          <w:sz w:val="32"/>
          <w:szCs w:val="32"/>
          <w:highlight w:val="none"/>
        </w:rPr>
        <w:t>附件</w:t>
      </w:r>
      <w:r>
        <w:rPr>
          <w:rFonts w:hint="eastAsia" w:ascii="黑体" w:hAnsi="黑体" w:eastAsia="黑体" w:cs="黑体"/>
          <w:b/>
          <w:bCs/>
          <w:sz w:val="32"/>
          <w:szCs w:val="32"/>
          <w:highlight w:val="none"/>
          <w:lang w:val="en-US" w:eastAsia="zh-CN"/>
        </w:rPr>
        <w:t>3</w:t>
      </w:r>
      <w:r>
        <w:rPr>
          <w:rFonts w:hint="eastAsia" w:ascii="黑体" w:hAnsi="黑体" w:eastAsia="黑体" w:cs="黑体"/>
          <w:b/>
          <w:bCs/>
          <w:sz w:val="32"/>
          <w:szCs w:val="32"/>
          <w:highlight w:val="none"/>
        </w:rPr>
        <w:t>：可认定为国家级A类或国际级的赛事</w:t>
      </w:r>
    </w:p>
    <w:tbl>
      <w:tblPr>
        <w:tblStyle w:val="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b/>
                <w:sz w:val="24"/>
                <w:highlight w:val="none"/>
              </w:rPr>
            </w:pPr>
            <w:r>
              <w:rPr>
                <w:rFonts w:hint="eastAsia" w:ascii="仿宋" w:hAnsi="仿宋" w:eastAsia="仿宋"/>
                <w:b/>
                <w:sz w:val="24"/>
                <w:highlight w:val="none"/>
              </w:rPr>
              <w:t>序</w:t>
            </w:r>
            <w:r>
              <w:rPr>
                <w:rFonts w:ascii="仿宋" w:hAnsi="仿宋" w:eastAsia="仿宋"/>
                <w:b/>
                <w:sz w:val="24"/>
                <w:highlight w:val="none"/>
              </w:rPr>
              <w:t>号</w:t>
            </w:r>
          </w:p>
        </w:tc>
        <w:tc>
          <w:tcPr>
            <w:tcW w:w="7484" w:type="dxa"/>
          </w:tcPr>
          <w:p>
            <w:pPr>
              <w:spacing w:line="400" w:lineRule="exact"/>
              <w:jc w:val="center"/>
              <w:rPr>
                <w:rFonts w:ascii="仿宋" w:hAnsi="仿宋" w:eastAsia="仿宋"/>
                <w:b/>
                <w:sz w:val="24"/>
                <w:highlight w:val="none"/>
              </w:rPr>
            </w:pPr>
            <w:r>
              <w:rPr>
                <w:rFonts w:hint="eastAsia" w:ascii="仿宋" w:hAnsi="仿宋" w:eastAsia="仿宋"/>
                <w:b/>
                <w:sz w:val="24"/>
                <w:highlight w:val="none"/>
              </w:rPr>
              <w:t>赛事</w:t>
            </w:r>
            <w:r>
              <w:rPr>
                <w:rFonts w:ascii="仿宋" w:hAnsi="仿宋" w:eastAsia="仿宋"/>
                <w:b/>
                <w:sz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2</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全国大学生电子设计竞赛嵌入式专题竞赛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3</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4</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全国大学生广告艺术设计大赛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5</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全国大学生英语演讲竞赛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6</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全国大学生化学实验竞赛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7</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全国大学生电子商务竞赛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8</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9</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10</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11</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全国大学生创新创业年会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12</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13</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“挑战杯”全国大学生科技作品竞赛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14</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“挑战杯”全国大学生创业计划大赛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15</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美国数学模型竞赛（MCM）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16</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美国大学生程序设计竞赛（ACM）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400" w:lineRule="exact"/>
              <w:jc w:val="center"/>
              <w:rPr>
                <w:rFonts w:ascii="仿宋" w:hAnsi="仿宋" w:eastAsia="仿宋"/>
                <w:sz w:val="24"/>
                <w:highlight w:val="none"/>
              </w:rPr>
            </w:pPr>
            <w:r>
              <w:rPr>
                <w:rFonts w:hint="eastAsia" w:ascii="仿宋" w:hAnsi="仿宋" w:eastAsia="仿宋"/>
                <w:sz w:val="24"/>
                <w:highlight w:val="none"/>
              </w:rPr>
              <w:t>17</w:t>
            </w:r>
          </w:p>
        </w:tc>
        <w:tc>
          <w:tcPr>
            <w:tcW w:w="7484" w:type="dxa"/>
          </w:tcPr>
          <w:p>
            <w:pPr>
              <w:spacing w:line="400" w:lineRule="exact"/>
              <w:jc w:val="center"/>
              <w:rPr>
                <w:rFonts w:ascii="仿宋" w:hAnsi="仿宋" w:eastAsia="仿宋"/>
                <w:sz w:val="24"/>
                <w:highlight w:val="none"/>
              </w:rPr>
            </w:pPr>
            <w:r>
              <w:rPr>
                <w:rFonts w:hint="eastAsia" w:ascii="仿宋" w:hAnsi="仿宋" w:eastAsia="仿宋"/>
                <w:sz w:val="24"/>
                <w:highlight w:val="none"/>
              </w:rPr>
              <w:t>国际大学生机械设计竞赛</w:t>
            </w:r>
          </w:p>
        </w:tc>
      </w:tr>
    </w:tbl>
    <w:p>
      <w:pPr>
        <w:ind w:firstLine="640" w:firstLineChars="200"/>
        <w:rPr>
          <w:rFonts w:ascii="仿宋_GB2312" w:eastAsia="仿宋_GB2312"/>
          <w:sz w:val="32"/>
          <w:highlight w:val="none"/>
        </w:rPr>
      </w:pPr>
      <w:r>
        <w:rPr>
          <w:rFonts w:hint="eastAsia" w:ascii="仿宋_GB2312" w:eastAsia="仿宋_GB2312"/>
          <w:sz w:val="32"/>
          <w:highlight w:val="none"/>
        </w:rPr>
        <w:t>学校创新创业领导小组每年组织1次赛事评定工作（认定新出现的赛事、删除停办的赛事、修改赛事的等级）。参赛学院负责提供需评定赛事的材料（报名通知、官方网站、等级评定参考依据）。</w:t>
      </w:r>
    </w:p>
    <w:p>
      <w:pPr>
        <w:spacing w:before="156" w:beforeLines="50" w:after="156" w:afterLines="50" w:line="360" w:lineRule="auto"/>
        <w:rPr>
          <w:rFonts w:ascii="黑体" w:hAnsi="黑体" w:eastAsia="黑体" w:cs="黑体"/>
          <w:b/>
          <w:bCs/>
          <w:sz w:val="32"/>
          <w:szCs w:val="32"/>
          <w:highlight w:val="none"/>
        </w:rPr>
      </w:pPr>
      <w:r>
        <w:rPr>
          <w:rFonts w:hint="eastAsia" w:ascii="仿宋_GB2312" w:eastAsia="仿宋_GB2312"/>
          <w:sz w:val="32"/>
          <w:highlight w:val="none"/>
        </w:rPr>
        <w:tab/>
      </w:r>
      <w:r>
        <w:rPr>
          <w:rFonts w:hint="eastAsia" w:ascii="仿宋_GB2312" w:eastAsia="仿宋_GB2312"/>
          <w:sz w:val="32"/>
          <w:highlight w:val="none"/>
        </w:rPr>
        <w:t>国家A类或国际级赛事认定参考本科教学审核评估中相关指标。</w:t>
      </w:r>
      <w:r>
        <w:rPr>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rPr>
        <w:fldChar w:fldCharType="begin"/>
      </w:r>
      <w:r>
        <w:rPr>
          <w:rFonts w:hint="eastAsia" w:ascii="黑体" w:hAnsi="黑体" w:eastAsia="黑体" w:cs="黑体"/>
          <w:sz w:val="32"/>
          <w:szCs w:val="32"/>
          <w:highlight w:val="none"/>
        </w:rPr>
        <w:instrText xml:space="preserve"> HYPERLINK "http://wzgl.shou.edu.cn/_upload/article/files/42/33/808516ab4001ba23eabf89d6dcd0/ce26afab-cd0e-485c-a5ca-5201607ceec2.doc" \o "2017年度上海海洋大学学科竞赛立项项目" \t "_blank" </w:instrText>
      </w:r>
      <w:r>
        <w:rPr>
          <w:rFonts w:hint="eastAsia" w:ascii="黑体" w:hAnsi="黑体" w:eastAsia="黑体" w:cs="黑体"/>
          <w:sz w:val="32"/>
          <w:szCs w:val="32"/>
          <w:highlight w:val="none"/>
        </w:rPr>
        <w:fldChar w:fldCharType="separate"/>
      </w:r>
      <w:r>
        <w:rPr>
          <w:rStyle w:val="8"/>
          <w:rFonts w:hint="eastAsia" w:ascii="黑体" w:hAnsi="黑体" w:eastAsia="黑体" w:cs="黑体"/>
          <w:color w:val="000000"/>
          <w:sz w:val="32"/>
          <w:szCs w:val="32"/>
          <w:highlight w:val="none"/>
        </w:rPr>
        <w:t>2018年度上海海洋大学学科竞赛立项项目</w:t>
      </w:r>
      <w:r>
        <w:rPr>
          <w:rFonts w:hint="eastAsia" w:ascii="黑体" w:hAnsi="黑体" w:eastAsia="黑体" w:cs="黑体"/>
          <w:sz w:val="32"/>
          <w:szCs w:val="32"/>
          <w:highlight w:val="none"/>
        </w:rPr>
        <w:fldChar w:fldCharType="end"/>
      </w:r>
    </w:p>
    <w:tbl>
      <w:tblPr>
        <w:tblStyle w:val="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309"/>
        <w:gridCol w:w="4596"/>
        <w:gridCol w:w="1522"/>
      </w:tblGrid>
      <w:tr>
        <w:tblPrEx>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cs="宋体"/>
                <w:b/>
                <w:kern w:val="0"/>
                <w:sz w:val="20"/>
                <w:szCs w:val="20"/>
                <w:highlight w:val="none"/>
              </w:rPr>
            </w:pPr>
            <w:r>
              <w:rPr>
                <w:rFonts w:hint="eastAsia" w:ascii="仿宋" w:hAnsi="仿宋" w:eastAsia="仿宋" w:cs="宋体"/>
                <w:b/>
                <w:kern w:val="0"/>
                <w:sz w:val="20"/>
                <w:szCs w:val="20"/>
                <w:highlight w:val="none"/>
              </w:rPr>
              <w:t>序号</w:t>
            </w:r>
          </w:p>
        </w:tc>
        <w:tc>
          <w:tcPr>
            <w:tcW w:w="1309" w:type="dxa"/>
            <w:vAlign w:val="center"/>
          </w:tcPr>
          <w:p>
            <w:pPr>
              <w:widowControl/>
              <w:jc w:val="center"/>
              <w:rPr>
                <w:rFonts w:ascii="仿宋" w:hAnsi="仿宋" w:eastAsia="仿宋" w:cs="宋体"/>
                <w:b/>
                <w:kern w:val="0"/>
                <w:sz w:val="20"/>
                <w:szCs w:val="20"/>
                <w:highlight w:val="none"/>
              </w:rPr>
            </w:pPr>
            <w:r>
              <w:rPr>
                <w:rFonts w:hint="eastAsia" w:ascii="仿宋" w:hAnsi="仿宋" w:eastAsia="仿宋" w:cs="宋体"/>
                <w:b/>
                <w:kern w:val="0"/>
                <w:sz w:val="20"/>
                <w:szCs w:val="20"/>
                <w:highlight w:val="none"/>
              </w:rPr>
              <w:t>学院</w:t>
            </w:r>
          </w:p>
        </w:tc>
        <w:tc>
          <w:tcPr>
            <w:tcW w:w="4596" w:type="dxa"/>
            <w:vAlign w:val="center"/>
          </w:tcPr>
          <w:p>
            <w:pPr>
              <w:widowControl/>
              <w:jc w:val="center"/>
              <w:rPr>
                <w:rFonts w:ascii="仿宋" w:hAnsi="仿宋" w:eastAsia="仿宋" w:cs="宋体"/>
                <w:b/>
                <w:kern w:val="0"/>
                <w:sz w:val="20"/>
                <w:szCs w:val="20"/>
                <w:highlight w:val="none"/>
              </w:rPr>
            </w:pPr>
            <w:r>
              <w:rPr>
                <w:rFonts w:hint="eastAsia" w:ascii="仿宋" w:hAnsi="仿宋" w:eastAsia="仿宋" w:cs="宋体"/>
                <w:b/>
                <w:kern w:val="0"/>
                <w:sz w:val="20"/>
                <w:szCs w:val="20"/>
                <w:highlight w:val="none"/>
              </w:rPr>
              <w:t>竞赛名称</w:t>
            </w:r>
          </w:p>
        </w:tc>
        <w:tc>
          <w:tcPr>
            <w:tcW w:w="1522" w:type="dxa"/>
            <w:vAlign w:val="center"/>
          </w:tcPr>
          <w:p>
            <w:pPr>
              <w:widowControl/>
              <w:jc w:val="center"/>
              <w:rPr>
                <w:rFonts w:ascii="仿宋" w:hAnsi="仿宋" w:eastAsia="仿宋" w:cs="宋体"/>
                <w:b/>
                <w:kern w:val="0"/>
                <w:sz w:val="20"/>
                <w:szCs w:val="20"/>
                <w:highlight w:val="none"/>
              </w:rPr>
            </w:pPr>
            <w:r>
              <w:rPr>
                <w:rFonts w:hint="eastAsia" w:ascii="仿宋" w:hAnsi="仿宋" w:eastAsia="仿宋" w:cs="宋体"/>
                <w:b/>
                <w:kern w:val="0"/>
                <w:sz w:val="20"/>
                <w:szCs w:val="20"/>
                <w:highlight w:val="none"/>
              </w:rPr>
              <w:t>竞赛等级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全国大学生水族箱造景技能大赛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大学生生命科学联赛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澜沧江－湄公河</w:t>
            </w:r>
            <w:r>
              <w:rPr>
                <w:rFonts w:ascii="仿宋" w:hAnsi="仿宋" w:eastAsia="仿宋"/>
                <w:kern w:val="0"/>
                <w:sz w:val="20"/>
                <w:szCs w:val="20"/>
                <w:highlight w:val="none"/>
              </w:rPr>
              <w:t>”</w:t>
            </w:r>
            <w:r>
              <w:rPr>
                <w:rFonts w:hint="eastAsia" w:ascii="仿宋" w:hAnsi="仿宋" w:eastAsia="仿宋"/>
                <w:kern w:val="0"/>
                <w:sz w:val="20"/>
                <w:szCs w:val="20"/>
                <w:highlight w:val="none"/>
              </w:rPr>
              <w:t>流域治理与发展创新设计大赛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全国大学生动物科学专业技能大赛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陈嘉庚青少年发明奖</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鱼卵孵化大赛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生命</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简历制作大赛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海洋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全国大学生海洋知识竞赛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海洋</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ASC</w:t>
            </w:r>
            <w:r>
              <w:rPr>
                <w:rFonts w:hint="eastAsia" w:ascii="仿宋" w:hAnsi="仿宋" w:eastAsia="仿宋"/>
                <w:kern w:val="0"/>
                <w:sz w:val="20"/>
                <w:szCs w:val="20"/>
                <w:highlight w:val="none"/>
              </w:rPr>
              <w:t>世界大学生超级计算机竞赛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海洋</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上汽教育杯</w:t>
            </w:r>
            <w:r>
              <w:rPr>
                <w:rFonts w:ascii="仿宋" w:hAnsi="仿宋" w:eastAsia="仿宋"/>
                <w:kern w:val="0"/>
                <w:sz w:val="20"/>
                <w:szCs w:val="20"/>
                <w:highlight w:val="none"/>
              </w:rPr>
              <w:t>”</w:t>
            </w:r>
            <w:r>
              <w:rPr>
                <w:rFonts w:hint="eastAsia" w:ascii="仿宋" w:hAnsi="仿宋" w:eastAsia="仿宋"/>
                <w:kern w:val="0"/>
                <w:sz w:val="20"/>
                <w:szCs w:val="20"/>
                <w:highlight w:val="none"/>
              </w:rPr>
              <w:t>上海市高校学生科技创新作品展示评优活动</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海洋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上海市（八校）求职模拟大赛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海洋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测绘技能大赛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全国大学生生命科学创新创业大赛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中国制冷空调行业大学生科技竞赛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全国医药院校药学</w:t>
            </w:r>
            <w:r>
              <w:rPr>
                <w:rFonts w:ascii="仿宋" w:hAnsi="仿宋" w:eastAsia="仿宋"/>
                <w:kern w:val="0"/>
                <w:sz w:val="20"/>
                <w:szCs w:val="20"/>
                <w:highlight w:val="none"/>
              </w:rPr>
              <w:t>/</w:t>
            </w:r>
            <w:r>
              <w:rPr>
                <w:rFonts w:hint="eastAsia" w:ascii="仿宋" w:hAnsi="仿宋" w:eastAsia="仿宋" w:cs="宋体"/>
                <w:kern w:val="0"/>
                <w:sz w:val="20"/>
                <w:szCs w:val="20"/>
                <w:highlight w:val="none"/>
              </w:rPr>
              <w:t>中药学专业大学生实验技能竞赛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中国食品协会系列大赛</w:t>
            </w:r>
            <w:r>
              <w:rPr>
                <w:rFonts w:ascii="仿宋" w:hAnsi="仿宋" w:eastAsia="仿宋"/>
                <w:kern w:val="0"/>
                <w:sz w:val="20"/>
                <w:szCs w:val="20"/>
                <w:highlight w:val="none"/>
              </w:rPr>
              <w:t>-</w:t>
            </w:r>
            <w:r>
              <w:rPr>
                <w:rFonts w:hint="eastAsia" w:ascii="仿宋" w:hAnsi="仿宋" w:eastAsia="仿宋" w:cs="宋体"/>
                <w:kern w:val="0"/>
                <w:sz w:val="20"/>
                <w:szCs w:val="20"/>
                <w:highlight w:val="none"/>
              </w:rPr>
              <w:t>李锦记杯学生创新大赛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中国包装创意设计大赛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CAR-ASHRAE</w:t>
            </w:r>
            <w:r>
              <w:rPr>
                <w:rFonts w:hint="eastAsia" w:ascii="仿宋" w:hAnsi="仿宋" w:eastAsia="仿宋"/>
                <w:kern w:val="0"/>
                <w:sz w:val="20"/>
                <w:szCs w:val="20"/>
                <w:highlight w:val="none"/>
              </w:rPr>
              <w:t>学生设计竞赛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19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MDV</w:t>
            </w:r>
            <w:r>
              <w:rPr>
                <w:rFonts w:hint="eastAsia" w:ascii="仿宋" w:hAnsi="仿宋" w:eastAsia="仿宋"/>
                <w:kern w:val="0"/>
                <w:sz w:val="20"/>
                <w:szCs w:val="20"/>
                <w:highlight w:val="none"/>
              </w:rPr>
              <w:t>中央空调设计应用大赛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全国高等学校人工环境学科奖</w:t>
            </w:r>
            <w:r>
              <w:rPr>
                <w:rFonts w:ascii="仿宋" w:hAnsi="仿宋" w:eastAsia="仿宋"/>
                <w:kern w:val="0"/>
                <w:sz w:val="20"/>
                <w:szCs w:val="20"/>
                <w:highlight w:val="none"/>
              </w:rPr>
              <w:t>”</w:t>
            </w:r>
            <w:r>
              <w:rPr>
                <w:rFonts w:hint="eastAsia" w:ascii="仿宋" w:hAnsi="仿宋" w:eastAsia="仿宋"/>
                <w:kern w:val="0"/>
                <w:sz w:val="20"/>
                <w:szCs w:val="20"/>
                <w:highlight w:val="none"/>
              </w:rPr>
              <w:t>专业基础竞赛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上海市大学生化学实验竞赛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上海高校学生创造发明</w:t>
            </w:r>
            <w:r>
              <w:rPr>
                <w:rFonts w:ascii="仿宋" w:hAnsi="仿宋" w:eastAsia="仿宋"/>
                <w:kern w:val="0"/>
                <w:sz w:val="20"/>
                <w:szCs w:val="20"/>
                <w:highlight w:val="none"/>
              </w:rPr>
              <w:t>“</w:t>
            </w:r>
            <w:r>
              <w:rPr>
                <w:rFonts w:hint="eastAsia" w:ascii="仿宋" w:hAnsi="仿宋" w:eastAsia="仿宋" w:cs="宋体"/>
                <w:kern w:val="0"/>
                <w:sz w:val="20"/>
                <w:szCs w:val="20"/>
                <w:highlight w:val="none"/>
              </w:rPr>
              <w:t>科技创业杯</w:t>
            </w:r>
            <w:r>
              <w:rPr>
                <w:rFonts w:ascii="仿宋" w:hAnsi="仿宋" w:eastAsia="仿宋"/>
                <w:kern w:val="0"/>
                <w:sz w:val="20"/>
                <w:szCs w:val="20"/>
                <w:highlight w:val="none"/>
              </w:rPr>
              <w:t>”</w:t>
            </w:r>
            <w:r>
              <w:rPr>
                <w:rFonts w:hint="eastAsia" w:ascii="仿宋" w:hAnsi="仿宋" w:eastAsia="仿宋" w:cs="宋体"/>
                <w:kern w:val="0"/>
                <w:sz w:val="20"/>
                <w:szCs w:val="20"/>
                <w:highlight w:val="none"/>
              </w:rPr>
              <w:t>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食品</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上海海洋大学图书馆文化环境创意设计大赛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生态环境</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全国大学生节能减排社会实践与科技竞赛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生态环境</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全国大学生环境生态科技创新大赛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生态环境</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全国环境监测技能大赛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生态环境</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全国环境友好科技竞赛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全国金融与证券投资模拟实训大赛暨上海海洋大学模拟炒股大赛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29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全国大学生物流设计大赛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上海市决策仿真实践大赛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大学生沙盘模拟经营大赛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上海市大学生网络商务创新应用大赛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上海市高校商业精英挑战赛国际贸易竞赛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大学生广告艺术大赛（上海赛区）</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经管</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金算盘会计技能大赛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全国大学生电子设计竞赛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全国大学生智能车竞赛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蓝桥杯</w:t>
            </w:r>
            <w:r>
              <w:rPr>
                <w:rFonts w:ascii="仿宋" w:hAnsi="仿宋" w:eastAsia="仿宋"/>
                <w:kern w:val="0"/>
                <w:sz w:val="20"/>
                <w:szCs w:val="20"/>
                <w:highlight w:val="none"/>
              </w:rPr>
              <w:t>”</w:t>
            </w:r>
            <w:r>
              <w:rPr>
                <w:rFonts w:hint="eastAsia" w:ascii="仿宋" w:hAnsi="仿宋" w:eastAsia="仿宋"/>
                <w:kern w:val="0"/>
                <w:sz w:val="20"/>
                <w:szCs w:val="20"/>
                <w:highlight w:val="none"/>
              </w:rPr>
              <w:t>全国软件和信息技术专业人才大赛</w:t>
            </w:r>
            <w:r>
              <w:rPr>
                <w:rFonts w:ascii="仿宋" w:hAnsi="仿宋" w:eastAsia="仿宋"/>
                <w:kern w:val="0"/>
                <w:sz w:val="20"/>
                <w:szCs w:val="20"/>
                <w:highlight w:val="none"/>
              </w:rPr>
              <w:t>-</w:t>
            </w:r>
            <w:r>
              <w:rPr>
                <w:rFonts w:hint="eastAsia" w:ascii="仿宋" w:hAnsi="仿宋" w:eastAsia="仿宋"/>
                <w:kern w:val="0"/>
                <w:sz w:val="20"/>
                <w:szCs w:val="20"/>
                <w:highlight w:val="none"/>
              </w:rPr>
              <w:t>电子类</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39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国际大学生</w:t>
            </w:r>
            <w:r>
              <w:rPr>
                <w:rFonts w:ascii="仿宋" w:hAnsi="仿宋" w:eastAsia="仿宋"/>
                <w:kern w:val="0"/>
                <w:sz w:val="20"/>
                <w:szCs w:val="20"/>
                <w:highlight w:val="none"/>
              </w:rPr>
              <w:t>iCAN</w:t>
            </w:r>
            <w:r>
              <w:rPr>
                <w:rFonts w:hint="eastAsia" w:ascii="仿宋" w:hAnsi="仿宋" w:eastAsia="仿宋" w:cs="宋体"/>
                <w:kern w:val="0"/>
                <w:sz w:val="20"/>
                <w:szCs w:val="20"/>
                <w:highlight w:val="none"/>
              </w:rPr>
              <w:t>创新创业大赛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全国三维数字化创新设计大赛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OI</w:t>
            </w:r>
            <w:r>
              <w:rPr>
                <w:rFonts w:hint="eastAsia" w:ascii="仿宋" w:hAnsi="仿宋" w:eastAsia="仿宋"/>
                <w:kern w:val="0"/>
                <w:sz w:val="20"/>
                <w:szCs w:val="20"/>
                <w:highlight w:val="none"/>
              </w:rPr>
              <w:t>中国水下机器人大赛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上海市大学生先进成图技术大赛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上海市大学生机械工程创新大赛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w:t>
            </w:r>
            <w:r>
              <w:rPr>
                <w:rFonts w:ascii="仿宋" w:hAnsi="仿宋" w:eastAsia="仿宋"/>
                <w:kern w:val="0"/>
                <w:sz w:val="20"/>
                <w:szCs w:val="20"/>
                <w:highlight w:val="none"/>
              </w:rPr>
              <w:t>“</w:t>
            </w:r>
            <w:r>
              <w:rPr>
                <w:rFonts w:hint="eastAsia" w:ascii="仿宋" w:hAnsi="仿宋" w:eastAsia="仿宋" w:cs="宋体"/>
                <w:kern w:val="0"/>
                <w:sz w:val="20"/>
                <w:szCs w:val="20"/>
                <w:highlight w:val="none"/>
              </w:rPr>
              <w:t>创造杯</w:t>
            </w:r>
            <w:r>
              <w:rPr>
                <w:rFonts w:ascii="仿宋" w:hAnsi="仿宋" w:eastAsia="仿宋"/>
                <w:kern w:val="0"/>
                <w:sz w:val="20"/>
                <w:szCs w:val="20"/>
                <w:highlight w:val="none"/>
              </w:rPr>
              <w:t>”</w:t>
            </w:r>
            <w:r>
              <w:rPr>
                <w:rFonts w:hint="eastAsia" w:ascii="仿宋" w:hAnsi="仿宋" w:eastAsia="仿宋" w:cs="宋体"/>
                <w:kern w:val="0"/>
                <w:sz w:val="20"/>
                <w:szCs w:val="20"/>
                <w:highlight w:val="none"/>
              </w:rPr>
              <w:t>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上海市大学生工程训练综合能力竞赛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上海海洋大学船模、动力艇大赛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工程优化大赛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工程</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渔业装备创新设计大赛</w:t>
            </w:r>
            <w:r>
              <w:rPr>
                <w:rFonts w:ascii="仿宋" w:hAnsi="仿宋" w:eastAsia="仿宋"/>
                <w:kern w:val="0"/>
                <w:sz w:val="20"/>
                <w:szCs w:val="20"/>
                <w:highlight w:val="none"/>
              </w:rPr>
              <w:t xml:space="preserve"> </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49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互联网＋</w:t>
            </w:r>
            <w:r>
              <w:rPr>
                <w:rFonts w:ascii="仿宋" w:hAnsi="仿宋" w:eastAsia="仿宋"/>
                <w:kern w:val="0"/>
                <w:sz w:val="20"/>
                <w:szCs w:val="20"/>
                <w:highlight w:val="none"/>
              </w:rPr>
              <w:t>”</w:t>
            </w:r>
            <w:r>
              <w:rPr>
                <w:rFonts w:hint="eastAsia" w:ascii="仿宋" w:hAnsi="仿宋" w:eastAsia="仿宋"/>
                <w:kern w:val="0"/>
                <w:sz w:val="20"/>
                <w:szCs w:val="20"/>
                <w:highlight w:val="none"/>
              </w:rPr>
              <w:t>大学生创新创业大赛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全国大学生数学建模竞赛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中国大学生计算机设计大赛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中国大学生原创动漫大赛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中国高校计算机大赛</w:t>
            </w:r>
            <w:r>
              <w:rPr>
                <w:rFonts w:ascii="仿宋" w:hAnsi="仿宋" w:eastAsia="仿宋"/>
                <w:kern w:val="0"/>
                <w:sz w:val="20"/>
                <w:szCs w:val="20"/>
                <w:highlight w:val="none"/>
              </w:rPr>
              <w:t>-</w:t>
            </w:r>
            <w:r>
              <w:rPr>
                <w:rFonts w:hint="eastAsia" w:ascii="仿宋" w:hAnsi="仿宋" w:eastAsia="仿宋" w:cs="宋体"/>
                <w:kern w:val="0"/>
                <w:sz w:val="20"/>
                <w:szCs w:val="20"/>
                <w:highlight w:val="none"/>
              </w:rPr>
              <w:t>团体程序设计天梯赛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中国高校计算机大赛</w:t>
            </w:r>
            <w:r>
              <w:rPr>
                <w:rFonts w:ascii="仿宋" w:hAnsi="仿宋" w:eastAsia="仿宋"/>
                <w:kern w:val="0"/>
                <w:sz w:val="20"/>
                <w:szCs w:val="20"/>
                <w:highlight w:val="none"/>
              </w:rPr>
              <w:t>-</w:t>
            </w:r>
            <w:r>
              <w:rPr>
                <w:rFonts w:hint="eastAsia" w:ascii="仿宋" w:hAnsi="仿宋" w:eastAsia="仿宋" w:cs="宋体"/>
                <w:kern w:val="0"/>
                <w:sz w:val="20"/>
                <w:szCs w:val="20"/>
                <w:highlight w:val="none"/>
              </w:rPr>
              <w:t>移动应用创新赛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全国大学生数学竞赛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全国海洋航行器设计与制作大赛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蓝桥杯</w:t>
            </w:r>
            <w:r>
              <w:rPr>
                <w:rFonts w:ascii="仿宋" w:hAnsi="仿宋" w:eastAsia="仿宋"/>
                <w:kern w:val="0"/>
                <w:sz w:val="20"/>
                <w:szCs w:val="20"/>
                <w:highlight w:val="none"/>
              </w:rPr>
              <w:t>”</w:t>
            </w:r>
            <w:r>
              <w:rPr>
                <w:rFonts w:hint="eastAsia" w:ascii="仿宋" w:hAnsi="仿宋" w:eastAsia="仿宋"/>
                <w:kern w:val="0"/>
                <w:sz w:val="20"/>
                <w:szCs w:val="20"/>
                <w:highlight w:val="none"/>
              </w:rPr>
              <w:t>全国软件和信息技术专业人才大赛</w:t>
            </w:r>
            <w:r>
              <w:rPr>
                <w:rFonts w:ascii="仿宋" w:hAnsi="仿宋" w:eastAsia="仿宋"/>
                <w:kern w:val="0"/>
                <w:sz w:val="20"/>
                <w:szCs w:val="20"/>
                <w:highlight w:val="none"/>
              </w:rPr>
              <w:t>-</w:t>
            </w:r>
            <w:r>
              <w:rPr>
                <w:rFonts w:hint="eastAsia" w:ascii="仿宋" w:hAnsi="仿宋" w:eastAsia="仿宋"/>
                <w:kern w:val="0"/>
                <w:sz w:val="20"/>
                <w:szCs w:val="20"/>
                <w:highlight w:val="none"/>
              </w:rPr>
              <w:t>软件类</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上海市大学生计算机应用能力大赛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59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上海市大学生职业生涯规划大赛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全国部分地区大学生物理竞赛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信息</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上海海洋大学人工智能鱼大赛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文法</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全国大学生海洋文化创意设计大赛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文法</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语言文字系列大赛（汉字听写竞赛暨</w:t>
            </w:r>
            <w:r>
              <w:rPr>
                <w:rFonts w:ascii="仿宋" w:hAnsi="仿宋" w:eastAsia="仿宋"/>
                <w:kern w:val="0"/>
                <w:sz w:val="20"/>
                <w:szCs w:val="20"/>
                <w:highlight w:val="none"/>
              </w:rPr>
              <w:t>“</w:t>
            </w:r>
            <w:r>
              <w:rPr>
                <w:rFonts w:hint="eastAsia" w:ascii="仿宋" w:hAnsi="仿宋" w:eastAsia="仿宋" w:cs="宋体"/>
                <w:kern w:val="0"/>
                <w:sz w:val="20"/>
                <w:szCs w:val="20"/>
                <w:highlight w:val="none"/>
              </w:rPr>
              <w:t>啄木鸟</w:t>
            </w:r>
            <w:r>
              <w:rPr>
                <w:rFonts w:ascii="仿宋" w:hAnsi="仿宋" w:eastAsia="仿宋"/>
                <w:kern w:val="0"/>
                <w:sz w:val="20"/>
                <w:szCs w:val="20"/>
                <w:highlight w:val="none"/>
              </w:rPr>
              <w:t>”</w:t>
            </w:r>
            <w:r>
              <w:rPr>
                <w:rFonts w:hint="eastAsia" w:ascii="仿宋" w:hAnsi="仿宋" w:eastAsia="仿宋" w:cs="宋体"/>
                <w:kern w:val="0"/>
                <w:sz w:val="20"/>
                <w:szCs w:val="20"/>
                <w:highlight w:val="none"/>
              </w:rPr>
              <w:t>汉字纠错竞赛、中华经典诗词竞赛等）</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文法</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汉字文化创意大赛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外研社杯</w:t>
            </w:r>
            <w:r>
              <w:rPr>
                <w:rFonts w:ascii="仿宋" w:hAnsi="仿宋" w:eastAsia="仿宋"/>
                <w:kern w:val="0"/>
                <w:sz w:val="20"/>
                <w:szCs w:val="20"/>
                <w:highlight w:val="none"/>
              </w:rPr>
              <w:t>”</w:t>
            </w:r>
            <w:r>
              <w:rPr>
                <w:rFonts w:hint="eastAsia" w:ascii="仿宋" w:hAnsi="仿宋" w:eastAsia="仿宋"/>
                <w:kern w:val="0"/>
                <w:sz w:val="20"/>
                <w:szCs w:val="20"/>
                <w:highlight w:val="none"/>
              </w:rPr>
              <w:t>全国英语写作、演讲、阅读系列大赛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全国大学生英语竞赛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全国大学生英语辩论赛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韩素音青年翻译奖竞赛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69</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全国口译大赛（英语）</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70</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中国大学生学术英语词汇大赛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71</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笹川杯全国高校日语知识大赛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72</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锦湖韩亚杯</w:t>
            </w:r>
            <w:r>
              <w:rPr>
                <w:rFonts w:ascii="仿宋" w:hAnsi="仿宋" w:eastAsia="仿宋"/>
                <w:kern w:val="0"/>
                <w:sz w:val="20"/>
                <w:szCs w:val="20"/>
                <w:highlight w:val="none"/>
              </w:rPr>
              <w:t>”</w:t>
            </w:r>
            <w:r>
              <w:rPr>
                <w:rFonts w:hint="eastAsia" w:ascii="仿宋" w:hAnsi="仿宋" w:eastAsia="仿宋"/>
                <w:kern w:val="0"/>
                <w:sz w:val="20"/>
                <w:szCs w:val="20"/>
                <w:highlight w:val="none"/>
              </w:rPr>
              <w:t>中国大学生韩国语演讲大赛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73</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外教社杯</w:t>
            </w:r>
            <w:r>
              <w:rPr>
                <w:rFonts w:ascii="仿宋" w:hAnsi="仿宋" w:eastAsia="仿宋"/>
                <w:kern w:val="0"/>
                <w:sz w:val="20"/>
                <w:szCs w:val="20"/>
                <w:highlight w:val="none"/>
              </w:rPr>
              <w:t>”</w:t>
            </w:r>
            <w:r>
              <w:rPr>
                <w:rFonts w:hint="eastAsia" w:ascii="仿宋" w:hAnsi="仿宋" w:eastAsia="仿宋"/>
                <w:kern w:val="0"/>
                <w:sz w:val="20"/>
                <w:szCs w:val="20"/>
                <w:highlight w:val="none"/>
              </w:rPr>
              <w:t>上海市高校学生跨文化能力大赛</w:t>
            </w:r>
            <w:r>
              <w:rPr>
                <w:rFonts w:ascii="仿宋" w:eastAsia="仿宋"/>
                <w:kern w:val="0"/>
                <w:sz w:val="20"/>
                <w:szCs w:val="20"/>
                <w:highlight w:val="none"/>
              </w:rPr>
              <w:t> </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74</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上海市大学生口译大赛（日语）</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75</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外语</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上海市大学生日语演讲比赛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上海市</w:t>
            </w:r>
            <w:r>
              <w:rPr>
                <w:rFonts w:ascii="仿宋" w:hAnsi="仿宋" w:eastAsia="仿宋"/>
                <w:kern w:val="0"/>
                <w:sz w:val="20"/>
                <w:szCs w:val="20"/>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76</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爱恩</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商业项目策划暨</w:t>
            </w:r>
            <w:r>
              <w:rPr>
                <w:rFonts w:ascii="仿宋" w:hAnsi="仿宋" w:eastAsia="仿宋"/>
                <w:kern w:val="0"/>
                <w:sz w:val="20"/>
                <w:szCs w:val="20"/>
                <w:highlight w:val="none"/>
              </w:rPr>
              <w:t>Presentation</w:t>
            </w:r>
            <w:r>
              <w:rPr>
                <w:rFonts w:hint="eastAsia" w:ascii="仿宋" w:hAnsi="仿宋" w:eastAsia="仿宋" w:cs="宋体"/>
                <w:kern w:val="0"/>
                <w:sz w:val="20"/>
                <w:szCs w:val="20"/>
                <w:highlight w:val="none"/>
              </w:rPr>
              <w:t>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校级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77</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学生处</w:t>
            </w:r>
          </w:p>
        </w:tc>
        <w:tc>
          <w:tcPr>
            <w:tcW w:w="4596" w:type="dxa"/>
            <w:vAlign w:val="center"/>
          </w:tcPr>
          <w:p>
            <w:pPr>
              <w:widowControl/>
              <w:jc w:val="left"/>
              <w:rPr>
                <w:rFonts w:ascii="仿宋" w:hAnsi="仿宋" w:eastAsia="仿宋"/>
                <w:kern w:val="0"/>
                <w:sz w:val="20"/>
                <w:szCs w:val="20"/>
                <w:highlight w:val="none"/>
              </w:rPr>
            </w:pPr>
            <w:r>
              <w:rPr>
                <w:rFonts w:ascii="仿宋" w:hAnsi="仿宋" w:eastAsia="仿宋"/>
                <w:kern w:val="0"/>
                <w:sz w:val="20"/>
                <w:szCs w:val="20"/>
                <w:highlight w:val="none"/>
              </w:rPr>
              <w:t>“</w:t>
            </w:r>
            <w:r>
              <w:rPr>
                <w:rFonts w:hint="eastAsia" w:ascii="仿宋" w:hAnsi="仿宋" w:eastAsia="仿宋"/>
                <w:kern w:val="0"/>
                <w:sz w:val="20"/>
                <w:szCs w:val="20"/>
                <w:highlight w:val="none"/>
              </w:rPr>
              <w:t>挑战杯</w:t>
            </w:r>
            <w:r>
              <w:rPr>
                <w:rFonts w:ascii="仿宋" w:hAnsi="仿宋" w:eastAsia="仿宋"/>
                <w:kern w:val="0"/>
                <w:sz w:val="20"/>
                <w:szCs w:val="20"/>
                <w:highlight w:val="none"/>
              </w:rPr>
              <w:t>”</w:t>
            </w:r>
            <w:r>
              <w:rPr>
                <w:rFonts w:hint="eastAsia" w:ascii="仿宋" w:hAnsi="仿宋" w:eastAsia="仿宋"/>
                <w:kern w:val="0"/>
                <w:sz w:val="20"/>
                <w:szCs w:val="20"/>
                <w:highlight w:val="none"/>
              </w:rPr>
              <w:t>全国大学生课外学术科技作品竞赛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76" w:type="dxa"/>
            <w:noWrap/>
            <w:vAlign w:val="center"/>
          </w:tcPr>
          <w:p>
            <w:pPr>
              <w:widowControl/>
              <w:jc w:val="center"/>
              <w:rPr>
                <w:rFonts w:ascii="仿宋" w:hAnsi="仿宋" w:eastAsia="仿宋"/>
                <w:kern w:val="0"/>
                <w:sz w:val="20"/>
                <w:szCs w:val="20"/>
                <w:highlight w:val="none"/>
              </w:rPr>
            </w:pPr>
            <w:r>
              <w:rPr>
                <w:rFonts w:ascii="仿宋" w:hAnsi="仿宋" w:eastAsia="仿宋"/>
                <w:kern w:val="0"/>
                <w:sz w:val="20"/>
                <w:szCs w:val="20"/>
                <w:highlight w:val="none"/>
              </w:rPr>
              <w:t>78</w:t>
            </w:r>
          </w:p>
        </w:tc>
        <w:tc>
          <w:tcPr>
            <w:tcW w:w="1309"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学生处</w:t>
            </w:r>
          </w:p>
        </w:tc>
        <w:tc>
          <w:tcPr>
            <w:tcW w:w="4596" w:type="dxa"/>
            <w:vAlign w:val="center"/>
          </w:tcPr>
          <w:p>
            <w:pPr>
              <w:widowControl/>
              <w:jc w:val="left"/>
              <w:rPr>
                <w:rFonts w:ascii="仿宋" w:hAnsi="仿宋" w:eastAsia="仿宋" w:cs="宋体"/>
                <w:kern w:val="0"/>
                <w:sz w:val="20"/>
                <w:szCs w:val="20"/>
                <w:highlight w:val="none"/>
              </w:rPr>
            </w:pPr>
            <w:r>
              <w:rPr>
                <w:rFonts w:hint="eastAsia" w:ascii="仿宋" w:hAnsi="仿宋" w:eastAsia="仿宋" w:cs="宋体"/>
                <w:kern w:val="0"/>
                <w:sz w:val="20"/>
                <w:szCs w:val="20"/>
                <w:highlight w:val="none"/>
              </w:rPr>
              <w:t>全国大学生网文大赛</w:t>
            </w:r>
          </w:p>
        </w:tc>
        <w:tc>
          <w:tcPr>
            <w:tcW w:w="1522" w:type="dxa"/>
            <w:vAlign w:val="center"/>
          </w:tcPr>
          <w:p>
            <w:pPr>
              <w:widowControl/>
              <w:jc w:val="center"/>
              <w:rPr>
                <w:rFonts w:ascii="仿宋" w:hAnsi="仿宋" w:eastAsia="仿宋" w:cs="宋体"/>
                <w:kern w:val="0"/>
                <w:sz w:val="20"/>
                <w:szCs w:val="20"/>
                <w:highlight w:val="none"/>
              </w:rPr>
            </w:pPr>
            <w:r>
              <w:rPr>
                <w:rFonts w:hint="eastAsia" w:ascii="仿宋" w:hAnsi="仿宋" w:eastAsia="仿宋" w:cs="宋体"/>
                <w:kern w:val="0"/>
                <w:sz w:val="20"/>
                <w:szCs w:val="20"/>
                <w:highlight w:val="none"/>
              </w:rPr>
              <w:t>国家级</w:t>
            </w:r>
            <w:r>
              <w:rPr>
                <w:rFonts w:ascii="仿宋" w:hAnsi="仿宋" w:eastAsia="仿宋"/>
                <w:kern w:val="0"/>
                <w:sz w:val="20"/>
                <w:szCs w:val="20"/>
                <w:highlight w:val="none"/>
              </w:rPr>
              <w:t>C</w:t>
            </w:r>
          </w:p>
        </w:tc>
      </w:tr>
    </w:tbl>
    <w:p>
      <w:pPr>
        <w:spacing w:before="240"/>
        <w:ind w:firstLine="105" w:firstLineChars="50"/>
        <w:jc w:val="left"/>
        <w:rPr>
          <w:highlight w:val="none"/>
        </w:rPr>
      </w:pPr>
      <w:r>
        <w:rPr>
          <w:rFonts w:hint="eastAsia"/>
          <w:highlight w:val="none"/>
        </w:rPr>
        <w:t>注</w:t>
      </w:r>
      <w:r>
        <w:rPr>
          <w:highlight w:val="none"/>
        </w:rPr>
        <w:t>：</w:t>
      </w:r>
      <w:r>
        <w:rPr>
          <w:rFonts w:hint="eastAsia"/>
          <w:highlight w:val="none"/>
        </w:rPr>
        <w:t>学科竞赛立项项目每年</w:t>
      </w:r>
      <w:r>
        <w:rPr>
          <w:highlight w:val="none"/>
        </w:rPr>
        <w:t>更新一次，以当年学校发文</w:t>
      </w:r>
      <w:r>
        <w:rPr>
          <w:rFonts w:hint="eastAsia"/>
          <w:highlight w:val="none"/>
        </w:rPr>
        <w:t>为</w:t>
      </w:r>
      <w:r>
        <w:rPr>
          <w:highlight w:val="none"/>
        </w:rPr>
        <w:t>准。</w:t>
      </w:r>
    </w:p>
    <w:p>
      <w:pPr>
        <w:spacing w:before="156" w:beforeLines="50" w:after="156" w:afterLines="50" w:line="360" w:lineRule="auto"/>
        <w:rPr>
          <w:b/>
          <w:bCs/>
          <w:highlight w:val="none"/>
        </w:rPr>
      </w:pPr>
    </w:p>
    <w:p>
      <w:pPr>
        <w:spacing w:line="360" w:lineRule="auto"/>
        <w:rPr>
          <w:rFonts w:ascii="宋体" w:hAnsi="宋体" w:cs="宋体"/>
          <w:b/>
          <w:bCs/>
          <w:color w:val="FF0000"/>
          <w:highlight w:val="none"/>
        </w:rPr>
      </w:pPr>
    </w:p>
    <w:p>
      <w:pPr>
        <w:rPr>
          <w:highlight w:val="none"/>
        </w:rPr>
      </w:pPr>
    </w:p>
    <w:p>
      <w:pPr>
        <w:spacing w:before="240"/>
        <w:ind w:firstLine="105" w:firstLineChars="50"/>
        <w:jc w:val="left"/>
        <w:rPr>
          <w:highlight w:val="none"/>
        </w:rPr>
      </w:pPr>
    </w:p>
    <w:p>
      <w:pPr>
        <w:spacing w:before="156" w:beforeLines="50" w:after="156" w:afterLines="50" w:line="360" w:lineRule="auto"/>
        <w:rPr>
          <w:b/>
          <w:bCs/>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49"/>
    <w:rsid w:val="00016482"/>
    <w:rsid w:val="0002424D"/>
    <w:rsid w:val="000625A2"/>
    <w:rsid w:val="000834F4"/>
    <w:rsid w:val="00090D33"/>
    <w:rsid w:val="000A3CAB"/>
    <w:rsid w:val="000B103A"/>
    <w:rsid w:val="000D435D"/>
    <w:rsid w:val="000D79DA"/>
    <w:rsid w:val="000E4B37"/>
    <w:rsid w:val="00111854"/>
    <w:rsid w:val="00142689"/>
    <w:rsid w:val="001F17F9"/>
    <w:rsid w:val="002417E7"/>
    <w:rsid w:val="00307091"/>
    <w:rsid w:val="00341731"/>
    <w:rsid w:val="00347E5C"/>
    <w:rsid w:val="00365A6B"/>
    <w:rsid w:val="003949FB"/>
    <w:rsid w:val="003C21BC"/>
    <w:rsid w:val="0042101B"/>
    <w:rsid w:val="00460E1C"/>
    <w:rsid w:val="00514B8C"/>
    <w:rsid w:val="00590F9B"/>
    <w:rsid w:val="005A1966"/>
    <w:rsid w:val="005E7A36"/>
    <w:rsid w:val="006420FD"/>
    <w:rsid w:val="006D786C"/>
    <w:rsid w:val="00715F71"/>
    <w:rsid w:val="007823FD"/>
    <w:rsid w:val="00782F2B"/>
    <w:rsid w:val="007F5887"/>
    <w:rsid w:val="00810FC8"/>
    <w:rsid w:val="00834C4D"/>
    <w:rsid w:val="00886D72"/>
    <w:rsid w:val="008E0DEE"/>
    <w:rsid w:val="009112A0"/>
    <w:rsid w:val="00922AB6"/>
    <w:rsid w:val="00931E83"/>
    <w:rsid w:val="00962F13"/>
    <w:rsid w:val="0096594C"/>
    <w:rsid w:val="009815A5"/>
    <w:rsid w:val="009851BF"/>
    <w:rsid w:val="00986AD4"/>
    <w:rsid w:val="00A108AD"/>
    <w:rsid w:val="00A5560C"/>
    <w:rsid w:val="00A70424"/>
    <w:rsid w:val="00AD402C"/>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04285F56"/>
    <w:rsid w:val="08D52E0F"/>
    <w:rsid w:val="09184979"/>
    <w:rsid w:val="0C9B7773"/>
    <w:rsid w:val="1222513E"/>
    <w:rsid w:val="13D13E7D"/>
    <w:rsid w:val="151042B7"/>
    <w:rsid w:val="17C04618"/>
    <w:rsid w:val="196C35CC"/>
    <w:rsid w:val="1C4C2A68"/>
    <w:rsid w:val="2B1C4E7C"/>
    <w:rsid w:val="2D2360DB"/>
    <w:rsid w:val="3005776C"/>
    <w:rsid w:val="31376C89"/>
    <w:rsid w:val="33B43F33"/>
    <w:rsid w:val="4596388D"/>
    <w:rsid w:val="4C314060"/>
    <w:rsid w:val="4D815B9A"/>
    <w:rsid w:val="4DFD5C2B"/>
    <w:rsid w:val="4F931D3A"/>
    <w:rsid w:val="572F0EFF"/>
    <w:rsid w:val="629B1244"/>
    <w:rsid w:val="67C142A8"/>
    <w:rsid w:val="69683ACF"/>
    <w:rsid w:val="6F6A1BB3"/>
    <w:rsid w:val="71E45895"/>
    <w:rsid w:val="73401F92"/>
    <w:rsid w:val="76F90E24"/>
    <w:rsid w:val="7B4B56FA"/>
    <w:rsid w:val="7BD3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纯文本 Char"/>
    <w:basedOn w:val="7"/>
    <w:link w:val="2"/>
    <w:qFormat/>
    <w:uiPriority w:val="0"/>
    <w:rPr>
      <w:rFonts w:ascii="宋体" w:hAnsi="Courier New" w:eastAsia="宋体" w:cs="Courier New"/>
      <w:szCs w:val="21"/>
    </w:rPr>
  </w:style>
  <w:style w:type="character" w:customStyle="1" w:styleId="10">
    <w:name w:val="页眉 Char"/>
    <w:basedOn w:val="7"/>
    <w:link w:val="5"/>
    <w:uiPriority w:val="0"/>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FFCC4-2350-43FB-A269-8356DFC014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1049</Words>
  <Characters>5983</Characters>
  <Lines>49</Lines>
  <Paragraphs>14</Paragraphs>
  <TotalTime>7</TotalTime>
  <ScaleCrop>false</ScaleCrop>
  <LinksUpToDate>false</LinksUpToDate>
  <CharactersWithSpaces>7018</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2017-09-19T01:23:00Z</dcterms:created>
  <dc:creator>SHOU</dc:creator>
  <cp:lastModifiedBy>lenovo</cp:lastModifiedBy>
  <cp:lastPrinted>2017-09-18T00:43:00Z</cp:lastPrinted>
  <dcterms:modified xsi:type="dcterms:W3CDTF">2020-10-14T01:10:20Z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