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CA75A">
      <w:pPr>
        <w:widowControl/>
        <w:spacing w:line="480" w:lineRule="auto"/>
        <w:jc w:val="center"/>
        <w:rPr>
          <w:b/>
          <w:bCs/>
          <w:color w:val="auto"/>
          <w:kern w:val="0"/>
          <w:sz w:val="32"/>
          <w:szCs w:val="32"/>
        </w:rPr>
      </w:pPr>
      <w:r>
        <w:rPr>
          <w:b/>
          <w:bCs/>
          <w:color w:val="auto"/>
          <w:kern w:val="0"/>
          <w:sz w:val="32"/>
          <w:szCs w:val="32"/>
        </w:rPr>
        <w:t>上海海洋大学经济管理学院研究生学业奖学金实施细则</w:t>
      </w:r>
    </w:p>
    <w:p w14:paraId="1E69A531">
      <w:pPr>
        <w:widowControl/>
        <w:spacing w:line="480" w:lineRule="auto"/>
        <w:jc w:val="center"/>
        <w:rPr>
          <w:b/>
          <w:bCs/>
          <w:color w:val="auto"/>
          <w:kern w:val="0"/>
          <w:sz w:val="32"/>
          <w:szCs w:val="32"/>
        </w:rPr>
      </w:pPr>
      <w:r>
        <w:rPr>
          <w:rFonts w:hint="eastAsia"/>
          <w:b/>
          <w:bCs/>
          <w:color w:val="auto"/>
          <w:kern w:val="0"/>
          <w:sz w:val="32"/>
          <w:szCs w:val="32"/>
        </w:rPr>
        <w:t>（2025年</w:t>
      </w:r>
      <w:r>
        <w:rPr>
          <w:rFonts w:hint="eastAsia"/>
          <w:b/>
          <w:bCs/>
          <w:color w:val="auto"/>
          <w:kern w:val="0"/>
          <w:sz w:val="32"/>
          <w:szCs w:val="32"/>
          <w:lang w:val="en-US" w:eastAsia="zh-CN"/>
        </w:rPr>
        <w:t>发布</w:t>
      </w:r>
      <w:r>
        <w:rPr>
          <w:rFonts w:hint="eastAsia"/>
          <w:b/>
          <w:bCs/>
          <w:color w:val="auto"/>
          <w:kern w:val="0"/>
          <w:sz w:val="32"/>
          <w:szCs w:val="32"/>
        </w:rPr>
        <w:t>）</w:t>
      </w:r>
    </w:p>
    <w:p w14:paraId="3ED41E94">
      <w:pPr>
        <w:widowControl/>
        <w:spacing w:line="360" w:lineRule="auto"/>
        <w:jc w:val="left"/>
        <w:rPr>
          <w:color w:val="auto"/>
          <w:kern w:val="0"/>
          <w:szCs w:val="18"/>
        </w:rPr>
      </w:pPr>
      <w:r>
        <w:rPr>
          <w:b/>
          <w:color w:val="auto"/>
          <w:kern w:val="0"/>
          <w:szCs w:val="18"/>
        </w:rPr>
        <w:t>第一条</w:t>
      </w:r>
      <w:r>
        <w:rPr>
          <w:color w:val="auto"/>
          <w:kern w:val="0"/>
          <w:szCs w:val="18"/>
        </w:rPr>
        <w:t xml:space="preserve">  为鼓励我院研究生勤奋学习、潜心科研、勇于创新、积极进取，支持研究生顺利完成学业，按照</w:t>
      </w:r>
      <w:r>
        <w:rPr>
          <w:rFonts w:hint="eastAsia"/>
          <w:color w:val="auto"/>
          <w:kern w:val="0"/>
          <w:szCs w:val="18"/>
        </w:rPr>
        <w:t>《上海海洋大学研究生学业奖学金实施细则》（沪海洋研﹝2014﹞15号2022年9月修订）</w:t>
      </w:r>
      <w:r>
        <w:rPr>
          <w:color w:val="auto"/>
          <w:kern w:val="0"/>
          <w:szCs w:val="18"/>
        </w:rPr>
        <w:t>，</w:t>
      </w:r>
      <w:r>
        <w:rPr>
          <w:rFonts w:hint="eastAsia"/>
          <w:color w:val="auto"/>
          <w:kern w:val="0"/>
          <w:szCs w:val="18"/>
        </w:rPr>
        <w:t>遵循</w:t>
      </w:r>
      <w:r>
        <w:rPr>
          <w:color w:val="auto"/>
          <w:kern w:val="0"/>
          <w:szCs w:val="18"/>
        </w:rPr>
        <w:t>全面发展</w:t>
      </w:r>
      <w:r>
        <w:rPr>
          <w:rFonts w:hint="eastAsia"/>
          <w:color w:val="auto"/>
          <w:kern w:val="0"/>
          <w:szCs w:val="18"/>
        </w:rPr>
        <w:t>与</w:t>
      </w:r>
      <w:r>
        <w:rPr>
          <w:color w:val="auto"/>
          <w:kern w:val="0"/>
          <w:szCs w:val="18"/>
        </w:rPr>
        <w:t>综合发展的原则制定本细则。</w:t>
      </w:r>
    </w:p>
    <w:p w14:paraId="14F02738">
      <w:pPr>
        <w:widowControl/>
        <w:jc w:val="left"/>
        <w:rPr>
          <w:color w:val="auto"/>
          <w:kern w:val="0"/>
          <w:szCs w:val="18"/>
        </w:rPr>
      </w:pPr>
      <w:r>
        <w:rPr>
          <w:b/>
          <w:color w:val="auto"/>
          <w:kern w:val="0"/>
          <w:szCs w:val="18"/>
        </w:rPr>
        <w:t>第二条</w:t>
      </w:r>
      <w:r>
        <w:rPr>
          <w:color w:val="auto"/>
          <w:kern w:val="0"/>
          <w:szCs w:val="18"/>
        </w:rPr>
        <w:t xml:space="preserve">  研究生学业奖学金的评选对象为纳入全国研究生招生计划的全日制非定向委培生，须具有中华人民共和国国籍。</w:t>
      </w:r>
    </w:p>
    <w:p w14:paraId="3E60764A">
      <w:pPr>
        <w:widowControl/>
        <w:spacing w:line="360" w:lineRule="auto"/>
        <w:jc w:val="left"/>
        <w:rPr>
          <w:color w:val="auto"/>
          <w:kern w:val="0"/>
          <w:highlight w:val="none"/>
        </w:rPr>
      </w:pPr>
      <w:r>
        <w:rPr>
          <w:b/>
          <w:color w:val="auto"/>
          <w:kern w:val="0"/>
          <w:szCs w:val="18"/>
          <w:highlight w:val="none"/>
        </w:rPr>
        <w:t>第三条</w:t>
      </w:r>
      <w:r>
        <w:rPr>
          <w:color w:val="auto"/>
          <w:kern w:val="0"/>
          <w:szCs w:val="18"/>
          <w:highlight w:val="none"/>
        </w:rPr>
        <w:t xml:space="preserve">  </w:t>
      </w:r>
      <w:r>
        <w:rPr>
          <w:color w:val="auto"/>
          <w:kern w:val="0"/>
          <w:highlight w:val="none"/>
        </w:rPr>
        <w:t>学业奖学金每学年评选1次。其中，博士研究生按照学制3</w:t>
      </w:r>
      <w:r>
        <w:rPr>
          <w:rFonts w:hint="eastAsia"/>
          <w:color w:val="auto"/>
          <w:kern w:val="0"/>
          <w:highlight w:val="none"/>
        </w:rPr>
        <w:t>～</w:t>
      </w:r>
      <w:r>
        <w:rPr>
          <w:color w:val="auto"/>
          <w:kern w:val="0"/>
          <w:highlight w:val="none"/>
        </w:rPr>
        <w:t>4</w:t>
      </w:r>
      <w:r>
        <w:rPr>
          <w:rFonts w:hint="eastAsia"/>
          <w:color w:val="auto"/>
          <w:kern w:val="0"/>
          <w:highlight w:val="none"/>
        </w:rPr>
        <w:t>年</w:t>
      </w:r>
      <w:r>
        <w:rPr>
          <w:color w:val="auto"/>
          <w:kern w:val="0"/>
          <w:highlight w:val="none"/>
        </w:rPr>
        <w:t>，硕士</w:t>
      </w:r>
      <w:r>
        <w:rPr>
          <w:rFonts w:hint="eastAsia"/>
          <w:color w:val="auto"/>
          <w:kern w:val="0"/>
          <w:highlight w:val="none"/>
        </w:rPr>
        <w:t>研究</w:t>
      </w:r>
      <w:r>
        <w:rPr>
          <w:color w:val="auto"/>
          <w:kern w:val="0"/>
          <w:highlight w:val="none"/>
        </w:rPr>
        <w:t>生按照学制</w:t>
      </w:r>
      <w:r>
        <w:rPr>
          <w:rFonts w:hint="eastAsia"/>
          <w:color w:val="auto"/>
          <w:kern w:val="0"/>
          <w:highlight w:val="none"/>
        </w:rPr>
        <w:t>2～3年</w:t>
      </w:r>
      <w:r>
        <w:rPr>
          <w:color w:val="auto"/>
          <w:kern w:val="0"/>
          <w:highlight w:val="none"/>
        </w:rPr>
        <w:t>进行评选和发放</w:t>
      </w:r>
      <w:r>
        <w:rPr>
          <w:rFonts w:hint="eastAsia"/>
          <w:color w:val="auto"/>
          <w:kern w:val="0"/>
          <w:highlight w:val="none"/>
        </w:rPr>
        <w:t>。</w:t>
      </w:r>
    </w:p>
    <w:p w14:paraId="5AC3C263">
      <w:pPr>
        <w:widowControl/>
        <w:spacing w:line="360" w:lineRule="auto"/>
        <w:jc w:val="left"/>
        <w:rPr>
          <w:color w:val="auto"/>
          <w:kern w:val="0"/>
        </w:rPr>
      </w:pPr>
      <w:r>
        <w:rPr>
          <w:b/>
          <w:color w:val="auto"/>
          <w:kern w:val="0"/>
        </w:rPr>
        <w:t>第四条</w:t>
      </w:r>
      <w:r>
        <w:rPr>
          <w:color w:val="auto"/>
          <w:kern w:val="0"/>
        </w:rPr>
        <w:t xml:space="preserve">  学业奖学金获奖比例与评奖等级</w:t>
      </w:r>
      <w:r>
        <w:rPr>
          <w:rFonts w:hint="eastAsia"/>
          <w:color w:val="auto"/>
          <w:kern w:val="0"/>
        </w:rPr>
        <w:t>参考研究生院相关文件。</w:t>
      </w:r>
    </w:p>
    <w:p w14:paraId="1272ECDF">
      <w:pPr>
        <w:widowControl/>
        <w:spacing w:line="360" w:lineRule="auto"/>
        <w:jc w:val="left"/>
        <w:rPr>
          <w:b/>
          <w:color w:val="auto"/>
          <w:kern w:val="0"/>
        </w:rPr>
      </w:pPr>
      <w:r>
        <w:rPr>
          <w:b/>
          <w:color w:val="auto"/>
          <w:kern w:val="0"/>
        </w:rPr>
        <w:t xml:space="preserve">第五条  </w:t>
      </w:r>
      <w:r>
        <w:rPr>
          <w:color w:val="auto"/>
          <w:kern w:val="0"/>
        </w:rPr>
        <w:t>研究生学业奖学金申请基本条件</w:t>
      </w:r>
    </w:p>
    <w:p w14:paraId="085A3CBB">
      <w:pPr>
        <w:widowControl/>
        <w:spacing w:line="360" w:lineRule="auto"/>
        <w:jc w:val="left"/>
        <w:rPr>
          <w:color w:val="auto"/>
        </w:rPr>
      </w:pPr>
      <w:r>
        <w:rPr>
          <w:rFonts w:hint="eastAsia"/>
          <w:color w:val="auto"/>
        </w:rPr>
        <w:t>1.</w:t>
      </w:r>
      <w:r>
        <w:rPr>
          <w:color w:val="auto"/>
        </w:rPr>
        <w:t>遵守宪法、法律、法规和学校的规章制度；</w:t>
      </w:r>
    </w:p>
    <w:p w14:paraId="35AC7651">
      <w:pPr>
        <w:widowControl/>
        <w:spacing w:line="360" w:lineRule="auto"/>
        <w:jc w:val="left"/>
        <w:rPr>
          <w:color w:val="auto"/>
        </w:rPr>
      </w:pPr>
      <w:r>
        <w:rPr>
          <w:rFonts w:hint="eastAsia"/>
          <w:color w:val="auto"/>
        </w:rPr>
        <w:t>2.</w:t>
      </w:r>
      <w:r>
        <w:rPr>
          <w:color w:val="auto"/>
        </w:rPr>
        <w:t xml:space="preserve">热爱祖国，拥护中国共产党的领导； </w:t>
      </w:r>
    </w:p>
    <w:p w14:paraId="5C364B1F">
      <w:pPr>
        <w:widowControl/>
        <w:spacing w:line="360" w:lineRule="auto"/>
        <w:jc w:val="left"/>
        <w:rPr>
          <w:color w:val="auto"/>
        </w:rPr>
      </w:pPr>
      <w:r>
        <w:rPr>
          <w:rFonts w:hint="eastAsia"/>
          <w:color w:val="auto"/>
        </w:rPr>
        <w:t>3.</w:t>
      </w:r>
      <w:r>
        <w:rPr>
          <w:color w:val="auto"/>
        </w:rPr>
        <w:t xml:space="preserve">诚实守信，恪守学术道德，无违法违纪行为； </w:t>
      </w:r>
    </w:p>
    <w:p w14:paraId="0D01A303">
      <w:pPr>
        <w:widowControl/>
        <w:spacing w:line="360" w:lineRule="auto"/>
        <w:jc w:val="left"/>
        <w:rPr>
          <w:color w:val="auto"/>
        </w:rPr>
      </w:pPr>
      <w:r>
        <w:rPr>
          <w:rFonts w:hint="eastAsia"/>
          <w:color w:val="auto"/>
        </w:rPr>
        <w:t>4.</w:t>
      </w:r>
      <w:r>
        <w:rPr>
          <w:color w:val="auto"/>
        </w:rPr>
        <w:t>学习成绩优异，科研能力显著，发展潜力突出；</w:t>
      </w:r>
    </w:p>
    <w:p w14:paraId="0EE648F7">
      <w:pPr>
        <w:widowControl/>
        <w:spacing w:line="360" w:lineRule="auto"/>
        <w:jc w:val="left"/>
        <w:rPr>
          <w:color w:val="auto"/>
        </w:rPr>
      </w:pPr>
      <w:r>
        <w:rPr>
          <w:rFonts w:hint="eastAsia"/>
          <w:color w:val="auto"/>
        </w:rPr>
        <w:t>5.</w:t>
      </w:r>
      <w:r>
        <w:rPr>
          <w:color w:val="auto"/>
        </w:rPr>
        <w:t>按学校规定时间进行学籍注册、缴纳学费和住宿费。</w:t>
      </w:r>
    </w:p>
    <w:p w14:paraId="4227872E">
      <w:pPr>
        <w:widowControl/>
        <w:autoSpaceDE w:val="0"/>
        <w:autoSpaceDN w:val="0"/>
        <w:adjustRightInd w:val="0"/>
        <w:spacing w:line="360" w:lineRule="auto"/>
        <w:jc w:val="left"/>
        <w:rPr>
          <w:color w:val="auto"/>
        </w:rPr>
      </w:pPr>
      <w:r>
        <w:rPr>
          <w:b/>
          <w:color w:val="auto"/>
        </w:rPr>
        <w:t>第六条</w:t>
      </w:r>
      <w:r>
        <w:rPr>
          <w:color w:val="auto"/>
        </w:rPr>
        <w:t xml:space="preserve">  研究生学业奖学金发放特殊情况</w:t>
      </w:r>
      <w:r>
        <w:rPr>
          <w:rFonts w:hint="eastAsia"/>
          <w:color w:val="auto"/>
        </w:rPr>
        <w:t>：</w:t>
      </w:r>
    </w:p>
    <w:p w14:paraId="439BAAD3">
      <w:pPr>
        <w:widowControl/>
        <w:autoSpaceDE w:val="0"/>
        <w:autoSpaceDN w:val="0"/>
        <w:adjustRightInd w:val="0"/>
        <w:spacing w:line="360" w:lineRule="auto"/>
        <w:jc w:val="left"/>
        <w:rPr>
          <w:color w:val="auto"/>
          <w:kern w:val="0"/>
          <w:highlight w:val="none"/>
        </w:rPr>
      </w:pPr>
      <w:r>
        <w:rPr>
          <w:rFonts w:hint="eastAsia"/>
          <w:color w:val="auto"/>
          <w:kern w:val="0"/>
          <w:highlight w:val="none"/>
        </w:rPr>
        <w:t>1</w:t>
      </w:r>
      <w:r>
        <w:rPr>
          <w:rFonts w:hint="eastAsia"/>
          <w:color w:val="auto"/>
          <w:highlight w:val="none"/>
        </w:rPr>
        <w:t>.联合培养研究生奖学金问题根据研究生院和各研究生培养单位相关文件要求执行。</w:t>
      </w:r>
    </w:p>
    <w:p w14:paraId="3956D3F4">
      <w:pPr>
        <w:widowControl/>
        <w:autoSpaceDE w:val="0"/>
        <w:autoSpaceDN w:val="0"/>
        <w:adjustRightInd w:val="0"/>
        <w:spacing w:line="360" w:lineRule="auto"/>
        <w:jc w:val="left"/>
        <w:rPr>
          <w:color w:val="auto"/>
          <w:kern w:val="0"/>
        </w:rPr>
      </w:pPr>
      <w:r>
        <w:rPr>
          <w:rFonts w:hint="eastAsia"/>
          <w:color w:val="auto"/>
          <w:kern w:val="0"/>
        </w:rPr>
        <w:t>2.</w:t>
      </w:r>
      <w:r>
        <w:rPr>
          <w:color w:val="auto"/>
          <w:kern w:val="0"/>
        </w:rPr>
        <w:t>硕博连读</w:t>
      </w:r>
      <w:r>
        <w:rPr>
          <w:rFonts w:hint="eastAsia"/>
          <w:color w:val="auto"/>
          <w:kern w:val="0"/>
        </w:rPr>
        <w:t>学生根据当年所修课程的层次阶段确定身份参与学业奖学金的评定。在选修硕士研究生课程阶段按照硕士研究生身份参与评定</w:t>
      </w:r>
      <w:r>
        <w:rPr>
          <w:color w:val="auto"/>
          <w:kern w:val="0"/>
        </w:rPr>
        <w:t>，</w:t>
      </w:r>
      <w:r>
        <w:rPr>
          <w:rFonts w:hint="eastAsia"/>
          <w:color w:val="auto"/>
          <w:kern w:val="0"/>
        </w:rPr>
        <w:t>进入选修博士研究生课程阶段按照博士研究生身份参与评定。</w:t>
      </w:r>
    </w:p>
    <w:p w14:paraId="1CC38609">
      <w:pPr>
        <w:widowControl/>
        <w:autoSpaceDE w:val="0"/>
        <w:autoSpaceDN w:val="0"/>
        <w:adjustRightInd w:val="0"/>
        <w:spacing w:line="360" w:lineRule="auto"/>
        <w:jc w:val="left"/>
        <w:rPr>
          <w:color w:val="auto"/>
          <w:kern w:val="0"/>
        </w:rPr>
      </w:pPr>
      <w:r>
        <w:rPr>
          <w:rFonts w:hint="eastAsia"/>
          <w:color w:val="auto"/>
          <w:kern w:val="0"/>
        </w:rPr>
        <w:t>3.</w:t>
      </w:r>
      <w:r>
        <w:rPr>
          <w:color w:val="auto"/>
          <w:kern w:val="0"/>
        </w:rPr>
        <w:t>未能在规定学制内完成学业，但又符合学校学籍管理规定的延期毕业研究生，不再享受学业奖学金。</w:t>
      </w:r>
    </w:p>
    <w:p w14:paraId="0549FC39">
      <w:pPr>
        <w:widowControl/>
        <w:spacing w:line="360" w:lineRule="auto"/>
        <w:jc w:val="left"/>
        <w:rPr>
          <w:color w:val="auto"/>
        </w:rPr>
      </w:pPr>
      <w:r>
        <w:rPr>
          <w:b/>
          <w:color w:val="auto"/>
        </w:rPr>
        <w:t>第七条</w:t>
      </w:r>
      <w:r>
        <w:rPr>
          <w:color w:val="auto"/>
        </w:rPr>
        <w:t xml:space="preserve">  获得学业奖学金的研究生，可同时申请研究生国家奖学金、研究生国家助学金、校内专项奖学金等</w:t>
      </w:r>
      <w:r>
        <w:rPr>
          <w:rFonts w:hint="eastAsia"/>
          <w:color w:val="auto"/>
        </w:rPr>
        <w:t>。其中在同一学年，国家奖学金和校级专项奖学金不可兼得，校级各专项奖学金不可兼得。</w:t>
      </w:r>
    </w:p>
    <w:p w14:paraId="6FB9DFDC">
      <w:pPr>
        <w:widowControl/>
        <w:spacing w:line="360" w:lineRule="auto"/>
        <w:jc w:val="left"/>
        <w:rPr>
          <w:color w:val="auto"/>
        </w:rPr>
      </w:pPr>
      <w:r>
        <w:rPr>
          <w:b/>
          <w:color w:val="auto"/>
        </w:rPr>
        <w:t>第八条</w:t>
      </w:r>
      <w:r>
        <w:rPr>
          <w:color w:val="auto"/>
        </w:rPr>
        <w:t xml:space="preserve">  有下列情形之一的，无资格申请研究生学业奖学金。已获得研究生学业奖学金，被发现有下述情况者，撤销获奖资格，视情况收回奖学金。</w:t>
      </w:r>
    </w:p>
    <w:p w14:paraId="3BA482A6">
      <w:pPr>
        <w:widowControl/>
        <w:spacing w:line="360" w:lineRule="auto"/>
        <w:jc w:val="left"/>
        <w:rPr>
          <w:color w:val="auto"/>
        </w:rPr>
      </w:pPr>
      <w:r>
        <w:rPr>
          <w:rFonts w:hint="eastAsia"/>
          <w:color w:val="auto"/>
        </w:rPr>
        <w:t>1.</w:t>
      </w:r>
      <w:r>
        <w:rPr>
          <w:color w:val="auto"/>
        </w:rPr>
        <w:t>无故欠缴学费、住宿费；</w:t>
      </w:r>
    </w:p>
    <w:p w14:paraId="05574A71">
      <w:pPr>
        <w:widowControl/>
        <w:spacing w:line="360" w:lineRule="auto"/>
        <w:jc w:val="left"/>
        <w:rPr>
          <w:color w:val="auto"/>
        </w:rPr>
      </w:pPr>
      <w:r>
        <w:rPr>
          <w:rFonts w:hint="eastAsia"/>
          <w:color w:val="auto"/>
        </w:rPr>
        <w:t>2.</w:t>
      </w:r>
      <w:r>
        <w:rPr>
          <w:color w:val="auto"/>
        </w:rPr>
        <w:t>学习期间未按规定程序请假而离校，时间超过一个月的研究生；</w:t>
      </w:r>
    </w:p>
    <w:p w14:paraId="7020F9BF">
      <w:pPr>
        <w:widowControl/>
        <w:spacing w:line="360" w:lineRule="auto"/>
        <w:jc w:val="left"/>
        <w:rPr>
          <w:color w:val="auto"/>
        </w:rPr>
      </w:pPr>
      <w:r>
        <w:rPr>
          <w:rFonts w:hint="eastAsia"/>
          <w:color w:val="auto"/>
        </w:rPr>
        <w:t>3.</w:t>
      </w:r>
      <w:r>
        <w:rPr>
          <w:color w:val="auto"/>
        </w:rPr>
        <w:t>已办理休学手续的研究生；</w:t>
      </w:r>
    </w:p>
    <w:p w14:paraId="65E54DDA">
      <w:pPr>
        <w:widowControl/>
        <w:spacing w:line="360" w:lineRule="auto"/>
        <w:jc w:val="left"/>
        <w:rPr>
          <w:color w:val="auto"/>
        </w:rPr>
      </w:pPr>
      <w:r>
        <w:rPr>
          <w:rFonts w:hint="eastAsia"/>
          <w:color w:val="auto"/>
          <w:szCs w:val="21"/>
        </w:rPr>
        <w:t>4.</w:t>
      </w:r>
      <w:r>
        <w:rPr>
          <w:color w:val="auto"/>
          <w:szCs w:val="21"/>
        </w:rPr>
        <w:t>已办理退学手续的研究生；</w:t>
      </w:r>
    </w:p>
    <w:p w14:paraId="1CB13BC6">
      <w:pPr>
        <w:widowControl/>
        <w:spacing w:line="360" w:lineRule="auto"/>
        <w:jc w:val="left"/>
        <w:rPr>
          <w:color w:val="auto"/>
        </w:rPr>
      </w:pPr>
      <w:r>
        <w:rPr>
          <w:rFonts w:hint="eastAsia"/>
          <w:color w:val="auto"/>
        </w:rPr>
        <w:t>5.</w:t>
      </w:r>
      <w:r>
        <w:rPr>
          <w:color w:val="auto"/>
        </w:rPr>
        <w:t>凡在本学年中受到各类处分及通报批评、学术研究有弄虚作假行为等其他情况等。</w:t>
      </w:r>
    </w:p>
    <w:p w14:paraId="1E78DEC2">
      <w:pPr>
        <w:widowControl/>
        <w:spacing w:line="360" w:lineRule="auto"/>
        <w:jc w:val="left"/>
        <w:rPr>
          <w:color w:val="auto"/>
          <w:kern w:val="0"/>
        </w:rPr>
      </w:pPr>
      <w:r>
        <w:rPr>
          <w:b/>
          <w:color w:val="auto"/>
        </w:rPr>
        <w:t>第九条</w:t>
      </w:r>
      <w:r>
        <w:rPr>
          <w:color w:val="auto"/>
        </w:rPr>
        <w:t xml:space="preserve">  </w:t>
      </w:r>
      <w:r>
        <w:rPr>
          <w:color w:val="auto"/>
          <w:kern w:val="0"/>
        </w:rPr>
        <w:t>一年级研究生无需申请，由研究生招生办直接划分学业奖学金等级；二年级</w:t>
      </w:r>
      <w:r>
        <w:rPr>
          <w:rFonts w:hint="eastAsia"/>
          <w:color w:val="auto"/>
          <w:kern w:val="0"/>
        </w:rPr>
        <w:t>及</w:t>
      </w:r>
      <w:r>
        <w:rPr>
          <w:color w:val="auto"/>
          <w:kern w:val="0"/>
        </w:rPr>
        <w:t>以上研究生，采用“先申请后受理、不申请不受理”的原则，由研究生本人在规定的申请时段内提出申请</w:t>
      </w:r>
      <w:r>
        <w:rPr>
          <w:rFonts w:hint="eastAsia"/>
          <w:color w:val="auto"/>
          <w:kern w:val="0"/>
        </w:rPr>
        <w:t>，并</w:t>
      </w:r>
      <w:r>
        <w:rPr>
          <w:color w:val="auto"/>
          <w:kern w:val="0"/>
        </w:rPr>
        <w:t>经学院评审、学校研究生院审核后确定学业奖学金等级。</w:t>
      </w:r>
    </w:p>
    <w:p w14:paraId="27867E7A">
      <w:pPr>
        <w:widowControl/>
        <w:spacing w:line="360" w:lineRule="auto"/>
        <w:jc w:val="left"/>
        <w:rPr>
          <w:color w:val="auto"/>
          <w:kern w:val="0"/>
        </w:rPr>
      </w:pPr>
      <w:r>
        <w:rPr>
          <w:b/>
          <w:color w:val="auto"/>
        </w:rPr>
        <w:t>第十条</w:t>
      </w:r>
      <w:r>
        <w:rPr>
          <w:color w:val="auto"/>
        </w:rPr>
        <w:t xml:space="preserve"> </w:t>
      </w:r>
      <w:r>
        <w:rPr>
          <w:rFonts w:hint="eastAsia"/>
          <w:color w:val="auto"/>
        </w:rPr>
        <w:t>上海海洋大学经济管理学院研究生学业奖学金计分由A</w:t>
      </w:r>
      <w:r>
        <w:rPr>
          <w:color w:val="auto"/>
          <w:kern w:val="0"/>
        </w:rPr>
        <w:t>、</w:t>
      </w:r>
      <w:r>
        <w:rPr>
          <w:rFonts w:hint="eastAsia"/>
          <w:color w:val="auto"/>
          <w:kern w:val="0"/>
        </w:rPr>
        <w:t>B</w:t>
      </w:r>
      <w:r>
        <w:rPr>
          <w:color w:val="auto"/>
          <w:kern w:val="0"/>
        </w:rPr>
        <w:t>、</w:t>
      </w:r>
      <w:r>
        <w:rPr>
          <w:rFonts w:hint="eastAsia"/>
          <w:color w:val="auto"/>
          <w:kern w:val="0"/>
        </w:rPr>
        <w:t>C三部分构成</w:t>
      </w:r>
      <w:r>
        <w:rPr>
          <w:rFonts w:hint="eastAsia"/>
          <w:color w:val="auto"/>
        </w:rPr>
        <w:t>，</w:t>
      </w:r>
      <w:r>
        <w:rPr>
          <w:color w:val="auto"/>
          <w:kern w:val="0"/>
        </w:rPr>
        <w:t>A</w:t>
      </w:r>
      <w:bookmarkStart w:id="1" w:name="_GoBack"/>
      <w:bookmarkEnd w:id="1"/>
      <w:r>
        <w:rPr>
          <w:color w:val="auto"/>
          <w:kern w:val="0"/>
        </w:rPr>
        <w:t>为</w:t>
      </w:r>
      <w:r>
        <w:rPr>
          <w:rFonts w:hint="eastAsia"/>
          <w:color w:val="auto"/>
          <w:kern w:val="0"/>
        </w:rPr>
        <w:t>研究生</w:t>
      </w:r>
      <w:r>
        <w:rPr>
          <w:color w:val="auto"/>
          <w:kern w:val="0"/>
        </w:rPr>
        <w:t>综合素质评分、B为</w:t>
      </w:r>
      <w:r>
        <w:rPr>
          <w:color w:val="auto"/>
          <w:kern w:val="1"/>
        </w:rPr>
        <w:t>研究生</w:t>
      </w:r>
      <w:r>
        <w:rPr>
          <w:color w:val="auto"/>
          <w:kern w:val="0"/>
        </w:rPr>
        <w:t>课程成绩加权平均分、C为科研</w:t>
      </w:r>
      <w:r>
        <w:rPr>
          <w:rFonts w:hint="eastAsia"/>
          <w:color w:val="auto"/>
          <w:kern w:val="0"/>
        </w:rPr>
        <w:t>及实践成果</w:t>
      </w:r>
      <w:r>
        <w:rPr>
          <w:color w:val="auto"/>
          <w:kern w:val="0"/>
        </w:rPr>
        <w:t>累计得分</w:t>
      </w:r>
      <w:r>
        <w:rPr>
          <w:rFonts w:hint="eastAsia"/>
          <w:color w:val="auto"/>
          <w:kern w:val="0"/>
        </w:rPr>
        <w:t>。</w:t>
      </w:r>
    </w:p>
    <w:p w14:paraId="68EAEBA0">
      <w:pPr>
        <w:widowControl/>
        <w:spacing w:line="360" w:lineRule="auto"/>
        <w:jc w:val="left"/>
        <w:rPr>
          <w:color w:val="auto"/>
          <w:kern w:val="0"/>
          <w:highlight w:val="none"/>
        </w:rPr>
      </w:pPr>
      <w:r>
        <w:rPr>
          <w:rFonts w:hint="eastAsia"/>
          <w:color w:val="auto"/>
          <w:kern w:val="0"/>
          <w:highlight w:val="none"/>
        </w:rPr>
        <w:t>（1）2年制硕士研究生其</w:t>
      </w:r>
      <w:r>
        <w:rPr>
          <w:color w:val="auto"/>
          <w:kern w:val="0"/>
          <w:highlight w:val="none"/>
        </w:rPr>
        <w:t>二年级研究生学业奖学金评分依据</w:t>
      </w:r>
      <w:r>
        <w:rPr>
          <w:rFonts w:hint="eastAsia"/>
          <w:color w:val="auto"/>
          <w:kern w:val="0"/>
          <w:highlight w:val="none"/>
        </w:rPr>
        <w:t>为</w:t>
      </w:r>
      <w:r>
        <w:rPr>
          <w:color w:val="auto"/>
          <w:kern w:val="0"/>
          <w:highlight w:val="none"/>
        </w:rPr>
        <w:t>A＋B</w:t>
      </w:r>
      <w:r>
        <w:rPr>
          <w:rFonts w:hint="eastAsia"/>
          <w:color w:val="auto"/>
          <w:kern w:val="0"/>
          <w:highlight w:val="none"/>
        </w:rPr>
        <w:t>+C。当学生总分相同时，按照C判定先后顺序。</w:t>
      </w:r>
    </w:p>
    <w:p w14:paraId="430FEDF8">
      <w:pPr>
        <w:widowControl/>
        <w:spacing w:line="360" w:lineRule="auto"/>
        <w:jc w:val="left"/>
        <w:rPr>
          <w:color w:val="auto"/>
          <w:kern w:val="0"/>
          <w:highlight w:val="none"/>
        </w:rPr>
      </w:pPr>
      <w:r>
        <w:rPr>
          <w:rFonts w:hint="eastAsia"/>
          <w:color w:val="auto"/>
          <w:kern w:val="0"/>
          <w:highlight w:val="none"/>
        </w:rPr>
        <w:t>（2）3年制硕士研究生其</w:t>
      </w:r>
      <w:r>
        <w:rPr>
          <w:color w:val="auto"/>
          <w:kern w:val="0"/>
          <w:highlight w:val="none"/>
        </w:rPr>
        <w:t>二年级研究生学业奖学金评分依据</w:t>
      </w:r>
      <w:r>
        <w:rPr>
          <w:rFonts w:hint="eastAsia"/>
          <w:color w:val="auto"/>
          <w:kern w:val="0"/>
          <w:highlight w:val="none"/>
        </w:rPr>
        <w:t>为</w:t>
      </w:r>
      <w:r>
        <w:rPr>
          <w:color w:val="auto"/>
          <w:kern w:val="0"/>
          <w:highlight w:val="none"/>
        </w:rPr>
        <w:t>A＋B</w:t>
      </w:r>
      <w:r>
        <w:rPr>
          <w:rFonts w:hint="eastAsia"/>
          <w:color w:val="auto"/>
          <w:kern w:val="0"/>
          <w:highlight w:val="none"/>
        </w:rPr>
        <w:t>，当学生A+B总分相同时，按照B判定先后顺序，其三</w:t>
      </w:r>
      <w:r>
        <w:rPr>
          <w:color w:val="auto"/>
          <w:kern w:val="0"/>
          <w:highlight w:val="none"/>
        </w:rPr>
        <w:t>年级研究生学业奖学金评分依据</w:t>
      </w:r>
      <w:r>
        <w:rPr>
          <w:rFonts w:hint="eastAsia"/>
          <w:color w:val="auto"/>
          <w:kern w:val="0"/>
          <w:highlight w:val="none"/>
        </w:rPr>
        <w:t>为</w:t>
      </w:r>
      <w:bookmarkStart w:id="0" w:name="OLE_LINK2"/>
      <w:r>
        <w:rPr>
          <w:color w:val="auto"/>
          <w:kern w:val="0"/>
          <w:highlight w:val="none"/>
        </w:rPr>
        <w:t>A＋B</w:t>
      </w:r>
      <w:r>
        <w:rPr>
          <w:rFonts w:hint="eastAsia"/>
          <w:color w:val="auto"/>
          <w:kern w:val="0"/>
          <w:highlight w:val="none"/>
        </w:rPr>
        <w:t>+C</w:t>
      </w:r>
      <w:bookmarkEnd w:id="0"/>
      <w:r>
        <w:rPr>
          <w:rFonts w:hint="eastAsia"/>
          <w:color w:val="auto"/>
          <w:kern w:val="0"/>
          <w:highlight w:val="none"/>
        </w:rPr>
        <w:t>。当学生总分相同时，按照C判定先后顺序。</w:t>
      </w:r>
    </w:p>
    <w:p w14:paraId="5606ADAE">
      <w:pPr>
        <w:widowControl/>
        <w:spacing w:line="360" w:lineRule="auto"/>
        <w:jc w:val="left"/>
        <w:rPr>
          <w:color w:val="auto"/>
          <w:kern w:val="0"/>
          <w:highlight w:val="none"/>
        </w:rPr>
      </w:pPr>
      <w:r>
        <w:rPr>
          <w:rFonts w:hint="eastAsia"/>
          <w:color w:val="auto"/>
          <w:kern w:val="0"/>
          <w:highlight w:val="none"/>
        </w:rPr>
        <w:t>（3）博士研究生其</w:t>
      </w:r>
      <w:r>
        <w:rPr>
          <w:color w:val="auto"/>
          <w:kern w:val="0"/>
          <w:highlight w:val="none"/>
        </w:rPr>
        <w:t>二年级研究生学业奖学金评分依据</w:t>
      </w:r>
      <w:r>
        <w:rPr>
          <w:rFonts w:hint="eastAsia"/>
          <w:color w:val="auto"/>
          <w:kern w:val="0"/>
          <w:highlight w:val="none"/>
        </w:rPr>
        <w:t>为</w:t>
      </w:r>
      <w:r>
        <w:rPr>
          <w:color w:val="auto"/>
          <w:kern w:val="0"/>
          <w:highlight w:val="none"/>
        </w:rPr>
        <w:t>A＋B</w:t>
      </w:r>
      <w:r>
        <w:rPr>
          <w:rFonts w:hint="eastAsia"/>
          <w:color w:val="auto"/>
          <w:kern w:val="0"/>
          <w:highlight w:val="none"/>
        </w:rPr>
        <w:t>，当学生A+B总分相同时，按照B判定先后顺序，三</w:t>
      </w:r>
      <w:r>
        <w:rPr>
          <w:color w:val="auto"/>
          <w:kern w:val="0"/>
          <w:highlight w:val="none"/>
        </w:rPr>
        <w:t>年级</w:t>
      </w:r>
      <w:r>
        <w:rPr>
          <w:rFonts w:hint="eastAsia"/>
          <w:color w:val="auto"/>
          <w:kern w:val="0"/>
          <w:highlight w:val="none"/>
        </w:rPr>
        <w:t>及以上</w:t>
      </w:r>
      <w:r>
        <w:rPr>
          <w:color w:val="auto"/>
          <w:kern w:val="0"/>
          <w:highlight w:val="none"/>
        </w:rPr>
        <w:t>研究生学业奖学金评分依据</w:t>
      </w:r>
      <w:r>
        <w:rPr>
          <w:rFonts w:hint="eastAsia"/>
          <w:color w:val="auto"/>
          <w:kern w:val="0"/>
          <w:highlight w:val="none"/>
        </w:rPr>
        <w:t>为</w:t>
      </w:r>
      <w:r>
        <w:rPr>
          <w:color w:val="auto"/>
          <w:kern w:val="0"/>
          <w:highlight w:val="none"/>
        </w:rPr>
        <w:t>A＋B</w:t>
      </w:r>
      <w:r>
        <w:rPr>
          <w:rFonts w:hint="eastAsia"/>
          <w:color w:val="auto"/>
          <w:kern w:val="0"/>
          <w:highlight w:val="none"/>
        </w:rPr>
        <w:t>+C。当学生总分相同时，按照C判定先后顺序。</w:t>
      </w:r>
    </w:p>
    <w:p w14:paraId="00C301E4">
      <w:pPr>
        <w:widowControl/>
        <w:autoSpaceDE w:val="0"/>
        <w:autoSpaceDN w:val="0"/>
        <w:adjustRightInd w:val="0"/>
        <w:spacing w:line="360" w:lineRule="auto"/>
        <w:jc w:val="left"/>
        <w:rPr>
          <w:color w:val="auto"/>
          <w:kern w:val="1"/>
        </w:rPr>
      </w:pPr>
      <w:r>
        <w:rPr>
          <w:b/>
          <w:color w:val="auto"/>
          <w:kern w:val="0"/>
        </w:rPr>
        <w:t>第十一条</w:t>
      </w:r>
      <w:r>
        <w:rPr>
          <w:color w:val="auto"/>
          <w:kern w:val="0"/>
        </w:rPr>
        <w:t xml:space="preserve">  研究生综合素质A，总分为10分，由导师和辅导员分别组织打分。导师</w:t>
      </w:r>
      <w:r>
        <w:rPr>
          <w:color w:val="auto"/>
          <w:spacing w:val="-8"/>
          <w:kern w:val="1"/>
        </w:rPr>
        <w:t>评分标准见附件1：《</w:t>
      </w:r>
      <w:r>
        <w:rPr>
          <w:color w:val="auto"/>
          <w:kern w:val="0"/>
        </w:rPr>
        <w:t>研究生综合素质评价打分表》</w:t>
      </w:r>
      <w:r>
        <w:rPr>
          <w:color w:val="auto"/>
          <w:spacing w:val="-8"/>
          <w:kern w:val="1"/>
        </w:rPr>
        <w:t>，辅导员评分依据研究生日常参与各类活动情况，导师和辅导员评分各占50%</w:t>
      </w:r>
      <w:r>
        <w:rPr>
          <w:color w:val="auto"/>
        </w:rPr>
        <w:t>。</w:t>
      </w:r>
    </w:p>
    <w:p w14:paraId="2E37EB29">
      <w:pPr>
        <w:widowControl/>
        <w:autoSpaceDE w:val="0"/>
        <w:autoSpaceDN w:val="0"/>
        <w:adjustRightInd w:val="0"/>
        <w:spacing w:line="360" w:lineRule="auto"/>
        <w:jc w:val="left"/>
        <w:rPr>
          <w:color w:val="auto"/>
          <w:kern w:val="1"/>
        </w:rPr>
      </w:pPr>
      <w:r>
        <w:rPr>
          <w:b/>
          <w:color w:val="auto"/>
          <w:kern w:val="0"/>
        </w:rPr>
        <w:t>第十二条</w:t>
      </w:r>
      <w:r>
        <w:rPr>
          <w:color w:val="auto"/>
          <w:kern w:val="0"/>
        </w:rPr>
        <w:t xml:space="preserve">  </w:t>
      </w:r>
      <w:r>
        <w:rPr>
          <w:color w:val="auto"/>
          <w:kern w:val="1"/>
        </w:rPr>
        <w:t>研究生课程</w:t>
      </w:r>
      <w:r>
        <w:rPr>
          <w:rFonts w:hint="eastAsia"/>
          <w:color w:val="auto"/>
          <w:kern w:val="1"/>
        </w:rPr>
        <w:t>成绩</w:t>
      </w:r>
      <w:r>
        <w:rPr>
          <w:color w:val="auto"/>
          <w:kern w:val="1"/>
        </w:rPr>
        <w:t>加权平均成绩B，学院根据审核期间校园网</w:t>
      </w:r>
      <w:r>
        <w:rPr>
          <w:rFonts w:hint="eastAsia"/>
          <w:color w:val="auto"/>
          <w:kern w:val="1"/>
        </w:rPr>
        <w:t>－</w:t>
      </w:r>
      <w:r>
        <w:rPr>
          <w:color w:val="auto"/>
          <w:kern w:val="1"/>
        </w:rPr>
        <w:t>数字校园</w:t>
      </w:r>
      <w:r>
        <w:rPr>
          <w:rFonts w:hint="eastAsia"/>
          <w:color w:val="auto"/>
          <w:kern w:val="1"/>
        </w:rPr>
        <w:t>－</w:t>
      </w:r>
      <w:r>
        <w:rPr>
          <w:color w:val="auto"/>
          <w:kern w:val="1"/>
        </w:rPr>
        <w:t>研究生系统导出的加权平均成绩计分。研究生有一门课程（</w:t>
      </w:r>
      <w:r>
        <w:rPr>
          <w:rFonts w:hint="eastAsia"/>
          <w:color w:val="auto"/>
          <w:kern w:val="1"/>
        </w:rPr>
        <w:t>不</w:t>
      </w:r>
      <w:r>
        <w:rPr>
          <w:color w:val="auto"/>
          <w:kern w:val="1"/>
        </w:rPr>
        <w:t>含学位英语）不及格，不能参评学业奖学金一等奖；有两门及以上课程（</w:t>
      </w:r>
      <w:r>
        <w:rPr>
          <w:rFonts w:hint="eastAsia"/>
          <w:color w:val="auto"/>
          <w:kern w:val="1"/>
        </w:rPr>
        <w:t>不</w:t>
      </w:r>
      <w:r>
        <w:rPr>
          <w:color w:val="auto"/>
          <w:kern w:val="1"/>
        </w:rPr>
        <w:t>含学位英语）不及格，不能参评学业奖学金一、二等奖。</w:t>
      </w:r>
    </w:p>
    <w:p w14:paraId="2FFD69B6">
      <w:pPr>
        <w:widowControl/>
        <w:autoSpaceDE w:val="0"/>
        <w:autoSpaceDN w:val="0"/>
        <w:adjustRightInd w:val="0"/>
        <w:spacing w:line="360" w:lineRule="auto"/>
        <w:jc w:val="left"/>
        <w:rPr>
          <w:color w:val="auto"/>
          <w:kern w:val="1"/>
          <w:u w:val="single"/>
        </w:rPr>
      </w:pPr>
      <w:r>
        <w:rPr>
          <w:b/>
          <w:color w:val="auto"/>
          <w:kern w:val="1"/>
        </w:rPr>
        <w:t>第十三条</w:t>
      </w:r>
      <w:r>
        <w:rPr>
          <w:color w:val="auto"/>
          <w:kern w:val="1"/>
        </w:rPr>
        <w:t xml:space="preserve">  研究生科研</w:t>
      </w:r>
      <w:r>
        <w:rPr>
          <w:rFonts w:hint="eastAsia"/>
          <w:color w:val="auto"/>
          <w:kern w:val="1"/>
        </w:rPr>
        <w:t>及实践成果累计</w:t>
      </w:r>
      <w:r>
        <w:rPr>
          <w:color w:val="auto"/>
          <w:kern w:val="0"/>
        </w:rPr>
        <w:t>得分</w:t>
      </w:r>
      <w:r>
        <w:rPr>
          <w:color w:val="auto"/>
          <w:kern w:val="1"/>
        </w:rPr>
        <w:t>C，</w:t>
      </w:r>
      <w:r>
        <w:rPr>
          <w:color w:val="auto"/>
          <w:kern w:val="1"/>
          <w:highlight w:val="none"/>
        </w:rPr>
        <w:t>按照附件2：《经济管理学院研究生科研</w:t>
      </w:r>
      <w:r>
        <w:rPr>
          <w:rFonts w:hint="eastAsia"/>
          <w:color w:val="auto"/>
          <w:kern w:val="1"/>
          <w:highlight w:val="none"/>
        </w:rPr>
        <w:t>及实践</w:t>
      </w:r>
      <w:r>
        <w:rPr>
          <w:color w:val="auto"/>
          <w:kern w:val="1"/>
          <w:highlight w:val="none"/>
        </w:rPr>
        <w:t>成果计分表》</w:t>
      </w:r>
      <w:r>
        <w:rPr>
          <w:color w:val="auto"/>
          <w:kern w:val="1"/>
        </w:rPr>
        <w:t>进行科研计分。</w:t>
      </w:r>
      <w:r>
        <w:rPr>
          <w:color w:val="auto"/>
          <w:kern w:val="1"/>
          <w:u w:val="none"/>
        </w:rPr>
        <w:t>科研成果应为在培养类别就读期间、评选当年8月31日</w:t>
      </w:r>
      <w:r>
        <w:rPr>
          <w:rFonts w:hint="eastAsia"/>
          <w:color w:val="auto"/>
          <w:kern w:val="1"/>
          <w:u w:val="none"/>
        </w:rPr>
        <w:t>（含）</w:t>
      </w:r>
      <w:r>
        <w:rPr>
          <w:color w:val="auto"/>
          <w:kern w:val="1"/>
          <w:u w:val="none"/>
        </w:rPr>
        <w:t>前见刊</w:t>
      </w:r>
      <w:r>
        <w:rPr>
          <w:rFonts w:hint="eastAsia"/>
          <w:color w:val="auto"/>
          <w:kern w:val="1"/>
        </w:rPr>
        <w:t>（未见刊的需要网络首发或者</w:t>
      </w:r>
      <w:r>
        <w:rPr>
          <w:color w:val="auto"/>
        </w:rPr>
        <w:fldChar w:fldCharType="begin"/>
      </w:r>
      <w:r>
        <w:rPr>
          <w:color w:val="auto"/>
        </w:rPr>
        <w:instrText xml:space="preserve"> HYPERLINK "http://202.121.66.120:808/url_xd.asp?cid=16&amp;typeid=9062&amp;link=http%3a%2f%2fe-resource.shou.edu.cn%2flogin%3furl%3dhttp%3a%2f%2fwww.webofknowledge.com%2f" \t "_blank" \o "Web of Science" </w:instrText>
      </w:r>
      <w:r>
        <w:rPr>
          <w:color w:val="auto"/>
        </w:rPr>
        <w:fldChar w:fldCharType="separate"/>
      </w:r>
      <w:r>
        <w:rPr>
          <w:rFonts w:hint="eastAsia"/>
          <w:color w:val="auto"/>
          <w:kern w:val="1"/>
        </w:rPr>
        <w:t>Web of Science</w:t>
      </w:r>
      <w:r>
        <w:rPr>
          <w:rFonts w:hint="eastAsia"/>
          <w:color w:val="auto"/>
          <w:kern w:val="1"/>
        </w:rPr>
        <w:fldChar w:fldCharType="end"/>
      </w:r>
      <w:r>
        <w:rPr>
          <w:rFonts w:hint="eastAsia"/>
          <w:color w:val="auto"/>
          <w:kern w:val="1"/>
        </w:rPr>
        <w:t>数据库可查询，检索结果须加附本校图书馆有效检索证明）</w:t>
      </w:r>
      <w:r>
        <w:rPr>
          <w:color w:val="auto"/>
          <w:kern w:val="1"/>
        </w:rPr>
        <w:t>；与研究生本人专业相关或与学位论文相关；研究生本人为第一作者</w:t>
      </w:r>
      <w:r>
        <w:rPr>
          <w:rFonts w:hint="eastAsia"/>
          <w:color w:val="auto"/>
          <w:kern w:val="1"/>
        </w:rPr>
        <w:t>（</w:t>
      </w:r>
      <w:r>
        <w:rPr>
          <w:color w:val="auto"/>
          <w:kern w:val="1"/>
        </w:rPr>
        <w:t>如为共同第一作者，则科研成果只为一名作者加分，加分作者由导师认定</w:t>
      </w:r>
      <w:r>
        <w:rPr>
          <w:rFonts w:hint="eastAsia"/>
          <w:color w:val="auto"/>
          <w:kern w:val="1"/>
        </w:rPr>
        <w:t>）</w:t>
      </w:r>
      <w:r>
        <w:rPr>
          <w:color w:val="auto"/>
          <w:kern w:val="1"/>
        </w:rPr>
        <w:t>或研究生本人为第二作者，导师（研究生部认定）为第一作者的可认定计分；第一单位必须署名上海海洋大学</w:t>
      </w:r>
      <w:r>
        <w:rPr>
          <w:rFonts w:hint="eastAsia"/>
          <w:color w:val="auto"/>
          <w:kern w:val="1"/>
        </w:rPr>
        <w:t>。</w:t>
      </w:r>
      <w:r>
        <w:rPr>
          <w:color w:val="auto"/>
          <w:kern w:val="1"/>
          <w:u w:val="none"/>
        </w:rPr>
        <w:t>同一成果可归属多个计分项目的，只计最高分，不重复计分；</w:t>
      </w:r>
      <w:r>
        <w:rPr>
          <w:rFonts w:hint="eastAsia"/>
          <w:color w:val="auto"/>
          <w:kern w:val="1"/>
          <w:highlight w:val="none"/>
          <w:u w:val="none"/>
        </w:rPr>
        <w:t>在评选学业奖学金时，</w:t>
      </w:r>
      <w:r>
        <w:rPr>
          <w:color w:val="auto"/>
          <w:kern w:val="1"/>
          <w:highlight w:val="none"/>
          <w:u w:val="none"/>
        </w:rPr>
        <w:t>经过审核后有效计分的科研</w:t>
      </w:r>
      <w:r>
        <w:rPr>
          <w:rFonts w:hint="eastAsia"/>
          <w:color w:val="auto"/>
          <w:kern w:val="1"/>
          <w:highlight w:val="none"/>
          <w:u w:val="none"/>
        </w:rPr>
        <w:t>及实践成果，不可重复使用。</w:t>
      </w:r>
    </w:p>
    <w:p w14:paraId="08A9BB48">
      <w:pPr>
        <w:widowControl/>
        <w:autoSpaceDE w:val="0"/>
        <w:autoSpaceDN w:val="0"/>
        <w:adjustRightInd w:val="0"/>
        <w:spacing w:line="360" w:lineRule="auto"/>
        <w:jc w:val="left"/>
        <w:rPr>
          <w:color w:val="auto"/>
          <w:kern w:val="0"/>
        </w:rPr>
      </w:pPr>
      <w:r>
        <w:rPr>
          <w:b/>
          <w:color w:val="auto"/>
          <w:kern w:val="1"/>
        </w:rPr>
        <w:t>第十四条</w:t>
      </w:r>
      <w:r>
        <w:rPr>
          <w:color w:val="auto"/>
          <w:kern w:val="1"/>
        </w:rPr>
        <w:t xml:space="preserve">  </w:t>
      </w:r>
      <w:r>
        <w:rPr>
          <w:color w:val="auto"/>
        </w:rPr>
        <w:t>由导师或学校、学院出具佐证材料，并经学院研究生评奖评优委员会审定，凡出现下列情况之一者，在下学年的评定中只能享受四等学业奖学金。</w:t>
      </w:r>
    </w:p>
    <w:p w14:paraId="25F9F601">
      <w:pPr>
        <w:widowControl/>
        <w:spacing w:line="360" w:lineRule="auto"/>
        <w:jc w:val="left"/>
        <w:rPr>
          <w:color w:val="auto"/>
        </w:rPr>
      </w:pPr>
      <w:r>
        <w:rPr>
          <w:rFonts w:hint="eastAsia"/>
          <w:color w:val="auto"/>
        </w:rPr>
        <w:t>1.</w:t>
      </w:r>
      <w:r>
        <w:rPr>
          <w:color w:val="auto"/>
        </w:rPr>
        <w:t>无故不参加学校、学院组织的重大活动比例达40%以上者；</w:t>
      </w:r>
    </w:p>
    <w:p w14:paraId="19630373">
      <w:pPr>
        <w:widowControl/>
        <w:spacing w:line="360" w:lineRule="auto"/>
        <w:jc w:val="left"/>
        <w:rPr>
          <w:color w:val="auto"/>
        </w:rPr>
      </w:pPr>
      <w:r>
        <w:rPr>
          <w:rFonts w:hint="eastAsia"/>
          <w:color w:val="auto"/>
        </w:rPr>
        <w:t>2.</w:t>
      </w:r>
      <w:r>
        <w:rPr>
          <w:color w:val="auto"/>
        </w:rPr>
        <w:t>在导师实验室考核（勤）中未达到规定考核次数者；</w:t>
      </w:r>
    </w:p>
    <w:p w14:paraId="7F60B4C2">
      <w:pPr>
        <w:widowControl/>
        <w:spacing w:line="360" w:lineRule="auto"/>
        <w:jc w:val="left"/>
        <w:rPr>
          <w:color w:val="auto"/>
        </w:rPr>
      </w:pPr>
      <w:r>
        <w:rPr>
          <w:rFonts w:hint="eastAsia"/>
          <w:color w:val="auto"/>
        </w:rPr>
        <w:t>3.</w:t>
      </w:r>
      <w:r>
        <w:rPr>
          <w:color w:val="auto"/>
        </w:rPr>
        <w:t>外出超过7天未履行正常的请假手续一次及以上者；</w:t>
      </w:r>
    </w:p>
    <w:p w14:paraId="51482A47">
      <w:pPr>
        <w:widowControl/>
        <w:spacing w:line="360" w:lineRule="auto"/>
        <w:jc w:val="left"/>
        <w:rPr>
          <w:color w:val="auto"/>
          <w:kern w:val="0"/>
          <w:szCs w:val="21"/>
        </w:rPr>
      </w:pPr>
      <w:r>
        <w:rPr>
          <w:b/>
          <w:color w:val="auto"/>
          <w:kern w:val="0"/>
          <w:szCs w:val="21"/>
        </w:rPr>
        <w:t>第十五条</w:t>
      </w:r>
      <w:r>
        <w:rPr>
          <w:color w:val="auto"/>
          <w:kern w:val="0"/>
          <w:szCs w:val="21"/>
        </w:rPr>
        <w:t xml:space="preserve">  成立上海海洋大学经济管理学院研究生学业奖学金评审委员会，本委员会具体负责制定、修订、审核上海海洋大学经济管理学院研究生学业奖学金实施细则，组织和评审每年的上海海洋大学经济管理学院研究生学业奖学金工作。委员会</w:t>
      </w:r>
      <w:r>
        <w:rPr>
          <w:rFonts w:hint="eastAsia"/>
          <w:color w:val="auto"/>
          <w:kern w:val="0"/>
          <w:szCs w:val="21"/>
        </w:rPr>
        <w:t>共计7人，构</w:t>
      </w:r>
      <w:r>
        <w:rPr>
          <w:color w:val="auto"/>
          <w:kern w:val="0"/>
          <w:szCs w:val="21"/>
        </w:rPr>
        <w:t>成如下：</w:t>
      </w:r>
    </w:p>
    <w:p w14:paraId="2D21FA2F">
      <w:pPr>
        <w:widowControl/>
        <w:spacing w:line="360" w:lineRule="auto"/>
        <w:ind w:firstLine="420" w:firstLineChars="200"/>
        <w:jc w:val="left"/>
        <w:rPr>
          <w:color w:val="auto"/>
          <w:kern w:val="0"/>
          <w:szCs w:val="21"/>
        </w:rPr>
      </w:pPr>
      <w:r>
        <w:rPr>
          <w:color w:val="auto"/>
          <w:kern w:val="0"/>
          <w:szCs w:val="21"/>
        </w:rPr>
        <w:t>主任：</w:t>
      </w:r>
      <w:r>
        <w:rPr>
          <w:rFonts w:hint="eastAsia"/>
          <w:color w:val="auto"/>
          <w:kern w:val="0"/>
          <w:szCs w:val="21"/>
        </w:rPr>
        <w:t>学院</w:t>
      </w:r>
      <w:r>
        <w:rPr>
          <w:color w:val="auto"/>
          <w:kern w:val="0"/>
          <w:szCs w:val="21"/>
        </w:rPr>
        <w:t xml:space="preserve">党委书记 </w:t>
      </w:r>
      <w:r>
        <w:rPr>
          <w:rFonts w:hint="eastAsia"/>
          <w:color w:val="auto"/>
          <w:kern w:val="0"/>
          <w:szCs w:val="21"/>
        </w:rPr>
        <w:t>1人</w:t>
      </w:r>
    </w:p>
    <w:p w14:paraId="1CDB4F49">
      <w:pPr>
        <w:widowControl/>
        <w:spacing w:line="360" w:lineRule="auto"/>
        <w:ind w:firstLine="420" w:firstLineChars="200"/>
        <w:jc w:val="left"/>
        <w:rPr>
          <w:color w:val="auto"/>
          <w:kern w:val="0"/>
          <w:szCs w:val="21"/>
        </w:rPr>
      </w:pPr>
      <w:r>
        <w:rPr>
          <w:color w:val="auto"/>
          <w:kern w:val="0"/>
          <w:szCs w:val="21"/>
        </w:rPr>
        <w:t>副主任：</w:t>
      </w:r>
      <w:r>
        <w:rPr>
          <w:rFonts w:hint="eastAsia"/>
          <w:color w:val="auto"/>
          <w:kern w:val="0"/>
          <w:szCs w:val="21"/>
        </w:rPr>
        <w:t>学院</w:t>
      </w:r>
      <w:r>
        <w:rPr>
          <w:color w:val="auto"/>
          <w:kern w:val="0"/>
          <w:szCs w:val="21"/>
        </w:rPr>
        <w:t>科研副院长</w:t>
      </w:r>
      <w:r>
        <w:rPr>
          <w:rFonts w:hint="eastAsia"/>
          <w:color w:val="auto"/>
          <w:kern w:val="0"/>
          <w:szCs w:val="21"/>
        </w:rPr>
        <w:t>1人</w:t>
      </w:r>
    </w:p>
    <w:p w14:paraId="3E99F973">
      <w:pPr>
        <w:widowControl/>
        <w:spacing w:line="360" w:lineRule="auto"/>
        <w:ind w:firstLine="422"/>
        <w:jc w:val="left"/>
        <w:rPr>
          <w:color w:val="auto"/>
          <w:kern w:val="0"/>
          <w:szCs w:val="21"/>
        </w:rPr>
      </w:pPr>
      <w:r>
        <w:rPr>
          <w:color w:val="auto"/>
          <w:kern w:val="0"/>
          <w:szCs w:val="21"/>
        </w:rPr>
        <w:t>委员：</w:t>
      </w:r>
      <w:r>
        <w:rPr>
          <w:rFonts w:hint="eastAsia"/>
          <w:color w:val="auto"/>
          <w:kern w:val="0"/>
          <w:szCs w:val="21"/>
        </w:rPr>
        <w:t>学院党委副书记1人、研究生导师代表1人、</w:t>
      </w:r>
      <w:r>
        <w:rPr>
          <w:color w:val="auto"/>
          <w:kern w:val="0"/>
          <w:szCs w:val="21"/>
        </w:rPr>
        <w:t>研究生</w:t>
      </w:r>
      <w:r>
        <w:rPr>
          <w:rFonts w:hint="eastAsia"/>
          <w:color w:val="auto"/>
          <w:kern w:val="0"/>
          <w:szCs w:val="21"/>
        </w:rPr>
        <w:t>专职辅导员2人</w:t>
      </w:r>
      <w:r>
        <w:rPr>
          <w:color w:val="auto"/>
          <w:kern w:val="0"/>
          <w:szCs w:val="21"/>
        </w:rPr>
        <w:t>、</w:t>
      </w:r>
      <w:r>
        <w:rPr>
          <w:rFonts w:hint="eastAsia"/>
          <w:color w:val="auto"/>
          <w:kern w:val="0"/>
          <w:szCs w:val="21"/>
        </w:rPr>
        <w:t>学院</w:t>
      </w:r>
      <w:r>
        <w:rPr>
          <w:color w:val="auto"/>
          <w:kern w:val="0"/>
          <w:szCs w:val="21"/>
        </w:rPr>
        <w:t>研究生</w:t>
      </w:r>
      <w:r>
        <w:rPr>
          <w:rFonts w:hint="eastAsia"/>
          <w:color w:val="auto"/>
          <w:kern w:val="0"/>
          <w:szCs w:val="21"/>
        </w:rPr>
        <w:t>会主席团成员1人。</w:t>
      </w:r>
    </w:p>
    <w:p w14:paraId="3BB9A5AB">
      <w:pPr>
        <w:widowControl/>
        <w:spacing w:line="360" w:lineRule="auto"/>
        <w:jc w:val="left"/>
        <w:rPr>
          <w:color w:val="auto"/>
          <w:kern w:val="0"/>
          <w:szCs w:val="21"/>
        </w:rPr>
      </w:pPr>
      <w:r>
        <w:rPr>
          <w:b/>
          <w:color w:val="auto"/>
        </w:rPr>
        <w:t>第十六条</w:t>
      </w:r>
      <w:r>
        <w:rPr>
          <w:color w:val="auto"/>
        </w:rPr>
        <w:t xml:space="preserve">  </w:t>
      </w:r>
      <w:r>
        <w:rPr>
          <w:color w:val="auto"/>
          <w:kern w:val="0"/>
          <w:szCs w:val="21"/>
        </w:rPr>
        <w:t>研究生学业奖学金每年9月份受理。所有符合本办法规定条件的攻读硕士、博士学位的</w:t>
      </w:r>
      <w:r>
        <w:rPr>
          <w:color w:val="auto"/>
          <w:kern w:val="0"/>
          <w:szCs w:val="18"/>
        </w:rPr>
        <w:t>全日制非定向委培</w:t>
      </w:r>
      <w:r>
        <w:rPr>
          <w:rFonts w:hint="eastAsia"/>
          <w:color w:val="auto"/>
          <w:kern w:val="0"/>
          <w:szCs w:val="18"/>
        </w:rPr>
        <w:t>在校研究生</w:t>
      </w:r>
      <w:r>
        <w:rPr>
          <w:color w:val="auto"/>
          <w:kern w:val="0"/>
          <w:szCs w:val="21"/>
        </w:rPr>
        <w:t>，均可申请。申请者需在通知的申请时段内向学院提交《上海海洋大学研究生学业奖学金申请表》，并附真实、有效的书面佐证材料。申请材料弄虚作假者，一经查实，将被取消评奖资格。</w:t>
      </w:r>
    </w:p>
    <w:p w14:paraId="2416399F">
      <w:pPr>
        <w:widowControl/>
        <w:spacing w:line="360" w:lineRule="auto"/>
        <w:jc w:val="left"/>
        <w:rPr>
          <w:color w:val="auto"/>
          <w:kern w:val="0"/>
        </w:rPr>
      </w:pPr>
      <w:r>
        <w:rPr>
          <w:b/>
          <w:color w:val="auto"/>
          <w:kern w:val="0"/>
          <w:szCs w:val="21"/>
        </w:rPr>
        <w:t xml:space="preserve">第十七条 </w:t>
      </w:r>
      <w:r>
        <w:rPr>
          <w:rFonts w:hint="eastAsia"/>
          <w:color w:val="auto"/>
          <w:kern w:val="0"/>
        </w:rPr>
        <w:t>研究生本人向上海海洋大学经济管理学院研究生学业奖学金评审委员会提出申请，并提交相关材料。经评审委员会审核，确定初选名单，并在本单位范围内公示不少于 5 个工作日，以接受师生监督。公示期内有异议者，由上海海洋大学经济管理学院研究生学业奖学金评审委员会研究并予以答复。无异议后，提交学校研究生学业奖学金评审领导小组审定。</w:t>
      </w:r>
    </w:p>
    <w:p w14:paraId="0D89429C">
      <w:pPr>
        <w:widowControl/>
        <w:numPr>
          <w:ilvl w:val="0"/>
          <w:numId w:val="1"/>
        </w:numPr>
        <w:spacing w:line="360" w:lineRule="auto"/>
        <w:jc w:val="left"/>
        <w:rPr>
          <w:b/>
          <w:color w:val="auto"/>
        </w:rPr>
      </w:pPr>
      <w:r>
        <w:rPr>
          <w:b/>
          <w:color w:val="auto"/>
        </w:rPr>
        <w:t xml:space="preserve"> </w:t>
      </w:r>
      <w:r>
        <w:rPr>
          <w:rFonts w:hint="eastAsia"/>
          <w:color w:val="auto"/>
          <w:kern w:val="0"/>
        </w:rPr>
        <w:t>学校研究生学业奖学金评审领导小组根据上海海洋大学经济管理学院研究生学业奖学金评审委员会申报情况进行审定，</w:t>
      </w:r>
      <w:r>
        <w:rPr>
          <w:rFonts w:hint="eastAsia"/>
          <w:color w:val="auto"/>
          <w:kern w:val="0"/>
          <w:highlight w:val="none"/>
        </w:rPr>
        <w:t>并在全校范围内公示不少于 5 个工作日</w:t>
      </w:r>
      <w:r>
        <w:rPr>
          <w:rFonts w:hint="eastAsia"/>
          <w:color w:val="auto"/>
          <w:kern w:val="0"/>
        </w:rPr>
        <w:t>。公示期内有异议的，可向学校研究生学业奖学金评审领导小组申请裁决；公示无异议后，学校批准印发公文、制作证书和奖学金发放工作。</w:t>
      </w:r>
    </w:p>
    <w:p w14:paraId="55AB405B">
      <w:pPr>
        <w:widowControl/>
        <w:numPr>
          <w:ilvl w:val="0"/>
          <w:numId w:val="1"/>
        </w:numPr>
        <w:tabs>
          <w:tab w:val="left" w:pos="870"/>
        </w:tabs>
        <w:spacing w:line="360" w:lineRule="auto"/>
        <w:jc w:val="left"/>
        <w:rPr>
          <w:b/>
          <w:color w:val="auto"/>
        </w:rPr>
      </w:pPr>
      <w:r>
        <w:rPr>
          <w:rFonts w:hint="eastAsia"/>
          <w:bCs/>
          <w:color w:val="auto"/>
        </w:rPr>
        <w:t>研究生学业奖学金的评审工作，应坚持公开、公平、公正、择优的原则，严格执行有关规定，杜绝弄虚作假。在研究生学业奖学金评审过程中，若研究生本人有违反学术纪律或弄虚作假行为，取消该生在校期间学业奖学金评审资格，并根据情节轻重给予相应处分；若研究生培养单位弄虚作假，学校将对该培养单位和相关责任人员予以相应处理并通报全校。</w:t>
      </w:r>
    </w:p>
    <w:p w14:paraId="5ABCD3E8">
      <w:pPr>
        <w:widowControl/>
        <w:spacing w:line="400" w:lineRule="exact"/>
        <w:jc w:val="left"/>
        <w:rPr>
          <w:color w:val="auto"/>
        </w:rPr>
      </w:pPr>
      <w:r>
        <w:rPr>
          <w:b/>
          <w:color w:val="auto"/>
        </w:rPr>
        <w:t>第二十条</w:t>
      </w:r>
      <w:r>
        <w:rPr>
          <w:color w:val="auto"/>
        </w:rPr>
        <w:t xml:space="preserve">  </w:t>
      </w:r>
      <w:r>
        <w:rPr>
          <w:rFonts w:hint="eastAsia"/>
          <w:color w:val="auto"/>
        </w:rPr>
        <w:t>本</w:t>
      </w:r>
      <w:r>
        <w:rPr>
          <w:rFonts w:hint="eastAsia"/>
          <w:color w:val="auto"/>
          <w:lang w:val="en-US" w:eastAsia="zh-CN"/>
        </w:rPr>
        <w:t>细则自2025年9月</w:t>
      </w:r>
      <w:r>
        <w:rPr>
          <w:rFonts w:hint="eastAsia"/>
          <w:color w:val="auto"/>
        </w:rPr>
        <w:t>开始执行，最终解释权归上海海洋大学经济管理学院研究生</w:t>
      </w:r>
      <w:r>
        <w:rPr>
          <w:rFonts w:hint="eastAsia"/>
          <w:color w:val="auto"/>
          <w:kern w:val="0"/>
        </w:rPr>
        <w:t>学业奖学金评审</w:t>
      </w:r>
      <w:r>
        <w:rPr>
          <w:rFonts w:hint="eastAsia"/>
          <w:color w:val="auto"/>
        </w:rPr>
        <w:t>委员会所有。若国家或学校有新的政策文件，以新政为准。</w:t>
      </w:r>
    </w:p>
    <w:p w14:paraId="7AA85FE1">
      <w:pPr>
        <w:widowControl/>
        <w:spacing w:after="156" w:afterLines="50" w:line="400" w:lineRule="exact"/>
        <w:jc w:val="left"/>
        <w:rPr>
          <w:b/>
          <w:color w:val="auto"/>
          <w:sz w:val="24"/>
        </w:rPr>
      </w:pPr>
    </w:p>
    <w:p w14:paraId="10AE09D6">
      <w:pPr>
        <w:widowControl/>
        <w:spacing w:after="156" w:afterLines="50" w:line="400" w:lineRule="exact"/>
        <w:jc w:val="left"/>
        <w:rPr>
          <w:b/>
          <w:color w:val="auto"/>
          <w:sz w:val="24"/>
        </w:rPr>
      </w:pPr>
    </w:p>
    <w:p w14:paraId="56699027">
      <w:pPr>
        <w:widowControl/>
        <w:spacing w:after="156" w:afterLines="50" w:line="400" w:lineRule="exact"/>
        <w:jc w:val="left"/>
        <w:rPr>
          <w:b/>
          <w:color w:val="auto"/>
          <w:sz w:val="24"/>
        </w:rPr>
      </w:pPr>
    </w:p>
    <w:p w14:paraId="66B538BD">
      <w:pPr>
        <w:widowControl/>
        <w:spacing w:after="156" w:afterLines="50" w:line="400" w:lineRule="exact"/>
        <w:jc w:val="left"/>
        <w:rPr>
          <w:b/>
          <w:color w:val="auto"/>
          <w:sz w:val="24"/>
        </w:rPr>
      </w:pPr>
    </w:p>
    <w:p w14:paraId="7E68ECD5">
      <w:pPr>
        <w:widowControl/>
        <w:spacing w:after="156" w:afterLines="50" w:line="400" w:lineRule="exact"/>
        <w:jc w:val="left"/>
        <w:rPr>
          <w:b/>
          <w:color w:val="auto"/>
          <w:sz w:val="24"/>
        </w:rPr>
      </w:pPr>
    </w:p>
    <w:p w14:paraId="751A31F3">
      <w:pPr>
        <w:widowControl/>
        <w:spacing w:after="156" w:afterLines="50" w:line="400" w:lineRule="exact"/>
        <w:jc w:val="left"/>
        <w:rPr>
          <w:b/>
          <w:color w:val="auto"/>
          <w:sz w:val="24"/>
        </w:rPr>
      </w:pPr>
    </w:p>
    <w:p w14:paraId="44EC08F5">
      <w:pPr>
        <w:widowControl/>
        <w:spacing w:after="156" w:afterLines="50" w:line="400" w:lineRule="exact"/>
        <w:jc w:val="left"/>
        <w:rPr>
          <w:b/>
          <w:color w:val="auto"/>
          <w:sz w:val="24"/>
        </w:rPr>
      </w:pPr>
    </w:p>
    <w:p w14:paraId="0A20501F">
      <w:pPr>
        <w:widowControl/>
        <w:spacing w:after="156" w:afterLines="50" w:line="400" w:lineRule="exact"/>
        <w:jc w:val="left"/>
        <w:rPr>
          <w:b/>
          <w:color w:val="auto"/>
          <w:sz w:val="24"/>
        </w:rPr>
      </w:pPr>
    </w:p>
    <w:p w14:paraId="13E7F288">
      <w:pPr>
        <w:widowControl/>
        <w:spacing w:after="156" w:afterLines="50" w:line="400" w:lineRule="exact"/>
        <w:jc w:val="left"/>
        <w:rPr>
          <w:b/>
          <w:color w:val="auto"/>
          <w:sz w:val="24"/>
        </w:rPr>
      </w:pPr>
    </w:p>
    <w:p w14:paraId="1C9DBD94">
      <w:pPr>
        <w:widowControl/>
        <w:spacing w:after="156" w:afterLines="50" w:line="400" w:lineRule="exact"/>
        <w:jc w:val="left"/>
        <w:rPr>
          <w:b/>
          <w:color w:val="auto"/>
          <w:sz w:val="24"/>
        </w:rPr>
      </w:pPr>
    </w:p>
    <w:p w14:paraId="56051BC4">
      <w:pPr>
        <w:widowControl/>
        <w:spacing w:after="156" w:afterLines="50" w:line="400" w:lineRule="exact"/>
        <w:jc w:val="left"/>
        <w:rPr>
          <w:b/>
          <w:color w:val="auto"/>
          <w:sz w:val="24"/>
        </w:rPr>
      </w:pPr>
    </w:p>
    <w:p w14:paraId="15AB181F">
      <w:pPr>
        <w:widowControl/>
        <w:spacing w:after="156" w:afterLines="50" w:line="400" w:lineRule="exact"/>
        <w:jc w:val="left"/>
        <w:rPr>
          <w:b/>
          <w:color w:val="auto"/>
          <w:sz w:val="24"/>
        </w:rPr>
      </w:pPr>
    </w:p>
    <w:p w14:paraId="7324149B">
      <w:pPr>
        <w:widowControl/>
        <w:spacing w:after="156" w:afterLines="50" w:line="400" w:lineRule="exact"/>
        <w:jc w:val="left"/>
        <w:rPr>
          <w:b/>
          <w:color w:val="auto"/>
          <w:sz w:val="24"/>
        </w:rPr>
      </w:pPr>
    </w:p>
    <w:p w14:paraId="6127C662">
      <w:pPr>
        <w:widowControl/>
        <w:spacing w:after="156" w:afterLines="50" w:line="400" w:lineRule="exact"/>
        <w:jc w:val="left"/>
        <w:rPr>
          <w:b/>
          <w:color w:val="auto"/>
          <w:sz w:val="24"/>
        </w:rPr>
      </w:pPr>
    </w:p>
    <w:p w14:paraId="77FBD51F">
      <w:pPr>
        <w:widowControl/>
        <w:spacing w:after="156" w:afterLines="50" w:line="400" w:lineRule="exact"/>
        <w:jc w:val="left"/>
        <w:rPr>
          <w:b/>
          <w:color w:val="auto"/>
          <w:sz w:val="24"/>
        </w:rPr>
      </w:pPr>
    </w:p>
    <w:p w14:paraId="28304B8C">
      <w:pPr>
        <w:widowControl/>
        <w:spacing w:after="156" w:afterLines="50" w:line="400" w:lineRule="exact"/>
        <w:jc w:val="left"/>
        <w:rPr>
          <w:b/>
          <w:color w:val="auto"/>
          <w:sz w:val="24"/>
        </w:rPr>
      </w:pPr>
    </w:p>
    <w:p w14:paraId="5DC95BF6">
      <w:pPr>
        <w:widowControl/>
        <w:spacing w:after="156" w:afterLines="50" w:line="400" w:lineRule="exact"/>
        <w:jc w:val="left"/>
        <w:rPr>
          <w:b/>
          <w:color w:val="auto"/>
          <w:sz w:val="24"/>
        </w:rPr>
      </w:pPr>
    </w:p>
    <w:p w14:paraId="71A2EC30">
      <w:pPr>
        <w:widowControl/>
        <w:spacing w:after="156" w:afterLines="50" w:line="400" w:lineRule="exact"/>
        <w:jc w:val="left"/>
        <w:rPr>
          <w:b/>
          <w:color w:val="auto"/>
          <w:sz w:val="24"/>
        </w:rPr>
      </w:pPr>
    </w:p>
    <w:p w14:paraId="18B69D27">
      <w:pPr>
        <w:widowControl/>
        <w:spacing w:after="156" w:afterLines="50" w:line="400" w:lineRule="exact"/>
        <w:jc w:val="left"/>
        <w:rPr>
          <w:b/>
          <w:color w:val="auto"/>
          <w:sz w:val="24"/>
        </w:rPr>
      </w:pPr>
    </w:p>
    <w:p w14:paraId="4FC918FB">
      <w:pPr>
        <w:widowControl/>
        <w:spacing w:after="156" w:afterLines="50" w:line="400" w:lineRule="exact"/>
        <w:jc w:val="left"/>
        <w:rPr>
          <w:b/>
          <w:color w:val="auto"/>
          <w:sz w:val="24"/>
        </w:rPr>
      </w:pPr>
    </w:p>
    <w:p w14:paraId="77AB3A3E">
      <w:pPr>
        <w:widowControl/>
        <w:spacing w:after="156" w:afterLines="50" w:line="400" w:lineRule="exact"/>
        <w:jc w:val="left"/>
        <w:rPr>
          <w:b/>
          <w:color w:val="auto"/>
          <w:sz w:val="24"/>
        </w:rPr>
      </w:pPr>
    </w:p>
    <w:p w14:paraId="64A7723B">
      <w:pPr>
        <w:widowControl/>
        <w:spacing w:after="156" w:afterLines="50" w:line="400" w:lineRule="exact"/>
        <w:jc w:val="left"/>
        <w:rPr>
          <w:b/>
          <w:color w:val="auto"/>
          <w:sz w:val="24"/>
        </w:rPr>
      </w:pPr>
    </w:p>
    <w:p w14:paraId="1CD58341">
      <w:pPr>
        <w:widowControl/>
        <w:spacing w:after="156" w:afterLines="50" w:line="400" w:lineRule="exact"/>
        <w:jc w:val="left"/>
        <w:rPr>
          <w:b/>
          <w:color w:val="auto"/>
          <w:sz w:val="24"/>
        </w:rPr>
      </w:pPr>
    </w:p>
    <w:p w14:paraId="06BCB2C5">
      <w:pPr>
        <w:widowControl/>
        <w:spacing w:after="156" w:afterLines="50" w:line="400" w:lineRule="exact"/>
        <w:jc w:val="left"/>
        <w:rPr>
          <w:b/>
          <w:color w:val="auto"/>
          <w:sz w:val="24"/>
        </w:rPr>
      </w:pPr>
      <w:r>
        <w:rPr>
          <w:b/>
          <w:color w:val="auto"/>
          <w:sz w:val="24"/>
        </w:rPr>
        <w:t>附件1：</w:t>
      </w:r>
    </w:p>
    <w:p w14:paraId="3D8CB5D1">
      <w:pPr>
        <w:widowControl/>
        <w:jc w:val="center"/>
        <w:rPr>
          <w:rFonts w:eastAsia="黑体"/>
          <w:b/>
          <w:bCs/>
          <w:color w:val="auto"/>
          <w:kern w:val="0"/>
          <w:szCs w:val="21"/>
        </w:rPr>
      </w:pPr>
      <w:r>
        <w:rPr>
          <w:rFonts w:eastAsia="黑体"/>
          <w:b/>
          <w:bCs/>
          <w:color w:val="auto"/>
          <w:kern w:val="0"/>
          <w:szCs w:val="21"/>
        </w:rPr>
        <w:t>研究生综合素质评价打分表</w:t>
      </w:r>
    </w:p>
    <w:tbl>
      <w:tblPr>
        <w:tblStyle w:val="9"/>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4287"/>
        <w:gridCol w:w="1092"/>
        <w:gridCol w:w="18"/>
        <w:gridCol w:w="1054"/>
      </w:tblGrid>
      <w:tr w14:paraId="44D8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082" w:type="dxa"/>
            <w:vAlign w:val="center"/>
          </w:tcPr>
          <w:p w14:paraId="503C74F8">
            <w:pPr>
              <w:widowControl/>
              <w:spacing w:line="400" w:lineRule="exact"/>
              <w:jc w:val="center"/>
              <w:rPr>
                <w:b/>
                <w:bCs/>
                <w:color w:val="auto"/>
                <w:kern w:val="0"/>
                <w:sz w:val="18"/>
                <w:szCs w:val="18"/>
              </w:rPr>
            </w:pPr>
            <w:r>
              <w:rPr>
                <w:b/>
                <w:bCs/>
                <w:color w:val="auto"/>
                <w:kern w:val="0"/>
                <w:sz w:val="18"/>
                <w:szCs w:val="18"/>
              </w:rPr>
              <w:t>评测指标</w:t>
            </w:r>
          </w:p>
        </w:tc>
        <w:tc>
          <w:tcPr>
            <w:tcW w:w="4287" w:type="dxa"/>
            <w:vAlign w:val="center"/>
          </w:tcPr>
          <w:p w14:paraId="004F65E0">
            <w:pPr>
              <w:widowControl/>
              <w:spacing w:line="400" w:lineRule="exact"/>
              <w:jc w:val="center"/>
              <w:rPr>
                <w:b/>
                <w:bCs/>
                <w:color w:val="auto"/>
                <w:kern w:val="0"/>
                <w:sz w:val="18"/>
                <w:szCs w:val="18"/>
              </w:rPr>
            </w:pPr>
            <w:r>
              <w:rPr>
                <w:b/>
                <w:bCs/>
                <w:color w:val="auto"/>
                <w:kern w:val="0"/>
                <w:sz w:val="18"/>
                <w:szCs w:val="18"/>
              </w:rPr>
              <w:t>评分内容</w:t>
            </w:r>
          </w:p>
        </w:tc>
        <w:tc>
          <w:tcPr>
            <w:tcW w:w="1092" w:type="dxa"/>
            <w:vAlign w:val="center"/>
          </w:tcPr>
          <w:p w14:paraId="30E0C648">
            <w:pPr>
              <w:widowControl/>
              <w:spacing w:line="400" w:lineRule="exact"/>
              <w:jc w:val="center"/>
              <w:rPr>
                <w:b/>
                <w:bCs/>
                <w:color w:val="auto"/>
                <w:kern w:val="0"/>
                <w:sz w:val="18"/>
                <w:szCs w:val="18"/>
              </w:rPr>
            </w:pPr>
            <w:r>
              <w:rPr>
                <w:b/>
                <w:bCs/>
                <w:color w:val="auto"/>
                <w:kern w:val="0"/>
                <w:sz w:val="18"/>
                <w:szCs w:val="18"/>
              </w:rPr>
              <w:t>评分</w:t>
            </w:r>
          </w:p>
          <w:p w14:paraId="3F6DC12C">
            <w:pPr>
              <w:widowControl/>
              <w:spacing w:line="400" w:lineRule="exact"/>
              <w:jc w:val="center"/>
              <w:rPr>
                <w:b/>
                <w:bCs/>
                <w:color w:val="auto"/>
                <w:kern w:val="0"/>
                <w:sz w:val="18"/>
                <w:szCs w:val="18"/>
              </w:rPr>
            </w:pPr>
            <w:r>
              <w:rPr>
                <w:b/>
                <w:bCs/>
                <w:color w:val="auto"/>
                <w:kern w:val="0"/>
                <w:sz w:val="18"/>
                <w:szCs w:val="18"/>
              </w:rPr>
              <w:t>标准</w:t>
            </w:r>
          </w:p>
        </w:tc>
        <w:tc>
          <w:tcPr>
            <w:tcW w:w="1072" w:type="dxa"/>
            <w:gridSpan w:val="2"/>
            <w:vAlign w:val="center"/>
          </w:tcPr>
          <w:p w14:paraId="3B50EED3">
            <w:pPr>
              <w:widowControl/>
              <w:spacing w:line="400" w:lineRule="exact"/>
              <w:jc w:val="center"/>
              <w:rPr>
                <w:b/>
                <w:bCs/>
                <w:color w:val="auto"/>
                <w:kern w:val="0"/>
                <w:sz w:val="18"/>
                <w:szCs w:val="18"/>
              </w:rPr>
            </w:pPr>
            <w:r>
              <w:rPr>
                <w:b/>
                <w:bCs/>
                <w:color w:val="auto"/>
                <w:kern w:val="0"/>
                <w:sz w:val="18"/>
                <w:szCs w:val="18"/>
              </w:rPr>
              <w:t>评分</w:t>
            </w:r>
          </w:p>
        </w:tc>
      </w:tr>
      <w:tr w14:paraId="3F10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2" w:type="dxa"/>
            <w:vMerge w:val="restart"/>
            <w:vAlign w:val="center"/>
          </w:tcPr>
          <w:p w14:paraId="5ACA7695">
            <w:pPr>
              <w:widowControl/>
              <w:spacing w:line="400" w:lineRule="exact"/>
              <w:jc w:val="center"/>
              <w:rPr>
                <w:b/>
                <w:bCs/>
                <w:color w:val="auto"/>
                <w:kern w:val="0"/>
                <w:sz w:val="18"/>
                <w:szCs w:val="18"/>
              </w:rPr>
            </w:pPr>
            <w:r>
              <w:rPr>
                <w:b/>
                <w:bCs/>
                <w:color w:val="auto"/>
                <w:kern w:val="0"/>
                <w:sz w:val="18"/>
                <w:szCs w:val="18"/>
              </w:rPr>
              <w:t>政治思想</w:t>
            </w:r>
          </w:p>
          <w:p w14:paraId="1534C532">
            <w:pPr>
              <w:widowControl/>
              <w:spacing w:line="400" w:lineRule="exact"/>
              <w:jc w:val="center"/>
              <w:rPr>
                <w:b/>
                <w:bCs/>
                <w:color w:val="auto"/>
                <w:kern w:val="0"/>
                <w:sz w:val="18"/>
                <w:szCs w:val="18"/>
              </w:rPr>
            </w:pPr>
            <w:r>
              <w:rPr>
                <w:b/>
                <w:bCs/>
                <w:color w:val="auto"/>
                <w:kern w:val="0"/>
                <w:sz w:val="18"/>
                <w:szCs w:val="18"/>
              </w:rPr>
              <w:t>品德修养</w:t>
            </w:r>
          </w:p>
          <w:p w14:paraId="55F6E338">
            <w:pPr>
              <w:widowControl/>
              <w:spacing w:line="400" w:lineRule="exact"/>
              <w:jc w:val="center"/>
              <w:rPr>
                <w:b/>
                <w:bCs/>
                <w:color w:val="auto"/>
                <w:kern w:val="0"/>
                <w:sz w:val="18"/>
                <w:szCs w:val="18"/>
              </w:rPr>
            </w:pPr>
            <w:r>
              <w:rPr>
                <w:rFonts w:hint="eastAsia"/>
                <w:b/>
                <w:bCs/>
                <w:color w:val="auto"/>
                <w:kern w:val="0"/>
                <w:sz w:val="18"/>
                <w:szCs w:val="18"/>
              </w:rPr>
              <w:t>（</w:t>
            </w:r>
            <w:r>
              <w:rPr>
                <w:b/>
                <w:bCs/>
                <w:color w:val="auto"/>
                <w:kern w:val="0"/>
                <w:sz w:val="18"/>
                <w:szCs w:val="18"/>
              </w:rPr>
              <w:t>4分</w:t>
            </w:r>
            <w:r>
              <w:rPr>
                <w:rFonts w:hint="eastAsia"/>
                <w:b/>
                <w:bCs/>
                <w:color w:val="auto"/>
                <w:kern w:val="0"/>
                <w:sz w:val="18"/>
                <w:szCs w:val="18"/>
              </w:rPr>
              <w:t>）</w:t>
            </w:r>
          </w:p>
        </w:tc>
        <w:tc>
          <w:tcPr>
            <w:tcW w:w="4287" w:type="dxa"/>
            <w:vAlign w:val="center"/>
          </w:tcPr>
          <w:p w14:paraId="46C9811A">
            <w:pPr>
              <w:widowControl/>
              <w:spacing w:line="400" w:lineRule="exact"/>
              <w:jc w:val="left"/>
              <w:rPr>
                <w:color w:val="auto"/>
                <w:kern w:val="0"/>
                <w:sz w:val="18"/>
                <w:szCs w:val="18"/>
              </w:rPr>
            </w:pPr>
            <w:r>
              <w:rPr>
                <w:color w:val="auto"/>
                <w:kern w:val="0"/>
                <w:sz w:val="18"/>
                <w:szCs w:val="18"/>
              </w:rPr>
              <w:t>政治立场坚定，</w:t>
            </w:r>
            <w:r>
              <w:rPr>
                <w:rFonts w:hint="eastAsia"/>
                <w:color w:val="auto"/>
                <w:kern w:val="0"/>
                <w:sz w:val="18"/>
                <w:szCs w:val="18"/>
              </w:rPr>
              <w:t>拥护中国共产党的领导</w:t>
            </w:r>
            <w:r>
              <w:rPr>
                <w:color w:val="auto"/>
                <w:kern w:val="0"/>
                <w:sz w:val="18"/>
                <w:szCs w:val="18"/>
              </w:rPr>
              <w:t>，坚持参加政治理论学习和党、团组织活动</w:t>
            </w:r>
          </w:p>
        </w:tc>
        <w:tc>
          <w:tcPr>
            <w:tcW w:w="1092" w:type="dxa"/>
            <w:vAlign w:val="center"/>
          </w:tcPr>
          <w:p w14:paraId="5E82C25D">
            <w:pPr>
              <w:widowControl/>
              <w:spacing w:line="400" w:lineRule="exact"/>
              <w:jc w:val="center"/>
              <w:rPr>
                <w:color w:val="auto"/>
                <w:kern w:val="0"/>
                <w:sz w:val="18"/>
                <w:szCs w:val="18"/>
              </w:rPr>
            </w:pPr>
            <w:r>
              <w:rPr>
                <w:color w:val="auto"/>
                <w:kern w:val="0"/>
                <w:sz w:val="18"/>
                <w:szCs w:val="18"/>
              </w:rPr>
              <w:t>1分</w:t>
            </w:r>
          </w:p>
        </w:tc>
        <w:tc>
          <w:tcPr>
            <w:tcW w:w="1072" w:type="dxa"/>
            <w:gridSpan w:val="2"/>
            <w:vAlign w:val="center"/>
          </w:tcPr>
          <w:p w14:paraId="0F1C8999">
            <w:pPr>
              <w:widowControl/>
              <w:spacing w:line="400" w:lineRule="exact"/>
              <w:jc w:val="left"/>
              <w:rPr>
                <w:color w:val="auto"/>
                <w:kern w:val="0"/>
                <w:sz w:val="18"/>
                <w:szCs w:val="18"/>
              </w:rPr>
            </w:pPr>
          </w:p>
        </w:tc>
      </w:tr>
      <w:tr w14:paraId="0CD8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082" w:type="dxa"/>
            <w:vMerge w:val="continue"/>
            <w:vAlign w:val="center"/>
          </w:tcPr>
          <w:p w14:paraId="4E9E1D11">
            <w:pPr>
              <w:widowControl/>
              <w:spacing w:line="400" w:lineRule="exact"/>
              <w:jc w:val="center"/>
              <w:rPr>
                <w:b/>
                <w:bCs/>
                <w:color w:val="auto"/>
                <w:kern w:val="0"/>
                <w:sz w:val="18"/>
                <w:szCs w:val="18"/>
              </w:rPr>
            </w:pPr>
          </w:p>
        </w:tc>
        <w:tc>
          <w:tcPr>
            <w:tcW w:w="4287" w:type="dxa"/>
            <w:vMerge w:val="restart"/>
            <w:vAlign w:val="center"/>
          </w:tcPr>
          <w:p w14:paraId="6ED21537">
            <w:pPr>
              <w:widowControl/>
              <w:spacing w:line="400" w:lineRule="exact"/>
              <w:jc w:val="left"/>
              <w:rPr>
                <w:color w:val="auto"/>
                <w:kern w:val="0"/>
                <w:sz w:val="18"/>
                <w:szCs w:val="18"/>
              </w:rPr>
            </w:pPr>
            <w:r>
              <w:rPr>
                <w:color w:val="auto"/>
                <w:kern w:val="0"/>
                <w:sz w:val="18"/>
                <w:szCs w:val="18"/>
              </w:rPr>
              <w:t>不传播不盲从社会谣言，维护和谐环境和校园稳定，关心国家大事</w:t>
            </w:r>
          </w:p>
        </w:tc>
        <w:tc>
          <w:tcPr>
            <w:tcW w:w="1092" w:type="dxa"/>
            <w:vMerge w:val="restart"/>
            <w:vAlign w:val="center"/>
          </w:tcPr>
          <w:p w14:paraId="70F24721">
            <w:pPr>
              <w:widowControl/>
              <w:spacing w:line="400" w:lineRule="exact"/>
              <w:jc w:val="center"/>
              <w:rPr>
                <w:color w:val="auto"/>
                <w:kern w:val="0"/>
                <w:sz w:val="18"/>
                <w:szCs w:val="18"/>
              </w:rPr>
            </w:pPr>
            <w:r>
              <w:rPr>
                <w:color w:val="auto"/>
                <w:kern w:val="0"/>
                <w:sz w:val="18"/>
                <w:szCs w:val="18"/>
              </w:rPr>
              <w:t>1分</w:t>
            </w:r>
          </w:p>
        </w:tc>
        <w:tc>
          <w:tcPr>
            <w:tcW w:w="1072" w:type="dxa"/>
            <w:gridSpan w:val="2"/>
            <w:vMerge w:val="restart"/>
            <w:vAlign w:val="center"/>
          </w:tcPr>
          <w:p w14:paraId="2275D254">
            <w:pPr>
              <w:widowControl/>
              <w:spacing w:line="400" w:lineRule="exact"/>
              <w:jc w:val="center"/>
              <w:rPr>
                <w:color w:val="auto"/>
                <w:kern w:val="0"/>
                <w:sz w:val="18"/>
                <w:szCs w:val="18"/>
              </w:rPr>
            </w:pPr>
          </w:p>
        </w:tc>
      </w:tr>
      <w:tr w14:paraId="7C12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82" w:type="dxa"/>
            <w:vMerge w:val="continue"/>
            <w:vAlign w:val="center"/>
          </w:tcPr>
          <w:p w14:paraId="0B2FAC99">
            <w:pPr>
              <w:widowControl/>
              <w:spacing w:line="400" w:lineRule="exact"/>
              <w:jc w:val="center"/>
              <w:rPr>
                <w:b/>
                <w:bCs/>
                <w:color w:val="auto"/>
                <w:kern w:val="0"/>
                <w:sz w:val="18"/>
                <w:szCs w:val="18"/>
              </w:rPr>
            </w:pPr>
          </w:p>
        </w:tc>
        <w:tc>
          <w:tcPr>
            <w:tcW w:w="4287" w:type="dxa"/>
            <w:vMerge w:val="continue"/>
            <w:vAlign w:val="center"/>
          </w:tcPr>
          <w:p w14:paraId="57222753">
            <w:pPr>
              <w:widowControl/>
              <w:spacing w:line="400" w:lineRule="exact"/>
              <w:jc w:val="left"/>
              <w:rPr>
                <w:color w:val="auto"/>
                <w:kern w:val="0"/>
                <w:sz w:val="18"/>
                <w:szCs w:val="18"/>
              </w:rPr>
            </w:pPr>
          </w:p>
        </w:tc>
        <w:tc>
          <w:tcPr>
            <w:tcW w:w="1092" w:type="dxa"/>
            <w:vMerge w:val="continue"/>
            <w:vAlign w:val="center"/>
          </w:tcPr>
          <w:p w14:paraId="1DB95292">
            <w:pPr>
              <w:widowControl/>
              <w:spacing w:line="400" w:lineRule="exact"/>
              <w:jc w:val="left"/>
              <w:rPr>
                <w:color w:val="auto"/>
                <w:kern w:val="0"/>
                <w:sz w:val="18"/>
                <w:szCs w:val="18"/>
              </w:rPr>
            </w:pPr>
          </w:p>
        </w:tc>
        <w:tc>
          <w:tcPr>
            <w:tcW w:w="1072" w:type="dxa"/>
            <w:gridSpan w:val="2"/>
            <w:vMerge w:val="continue"/>
            <w:vAlign w:val="center"/>
          </w:tcPr>
          <w:p w14:paraId="2863D230">
            <w:pPr>
              <w:widowControl/>
              <w:spacing w:line="400" w:lineRule="exact"/>
              <w:jc w:val="left"/>
              <w:rPr>
                <w:color w:val="auto"/>
                <w:kern w:val="0"/>
                <w:sz w:val="18"/>
                <w:szCs w:val="18"/>
              </w:rPr>
            </w:pPr>
          </w:p>
        </w:tc>
      </w:tr>
      <w:tr w14:paraId="5603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082" w:type="dxa"/>
            <w:vMerge w:val="continue"/>
            <w:vAlign w:val="center"/>
          </w:tcPr>
          <w:p w14:paraId="55E30C02">
            <w:pPr>
              <w:widowControl/>
              <w:spacing w:line="400" w:lineRule="exact"/>
              <w:jc w:val="center"/>
              <w:rPr>
                <w:b/>
                <w:bCs/>
                <w:color w:val="auto"/>
                <w:kern w:val="0"/>
                <w:sz w:val="18"/>
                <w:szCs w:val="18"/>
              </w:rPr>
            </w:pPr>
          </w:p>
        </w:tc>
        <w:tc>
          <w:tcPr>
            <w:tcW w:w="4287" w:type="dxa"/>
            <w:vAlign w:val="center"/>
          </w:tcPr>
          <w:p w14:paraId="7137B864">
            <w:pPr>
              <w:widowControl/>
              <w:spacing w:line="400" w:lineRule="exact"/>
              <w:jc w:val="left"/>
              <w:rPr>
                <w:color w:val="auto"/>
                <w:kern w:val="0"/>
                <w:sz w:val="18"/>
                <w:szCs w:val="18"/>
              </w:rPr>
            </w:pPr>
            <w:r>
              <w:rPr>
                <w:color w:val="auto"/>
                <w:kern w:val="0"/>
                <w:sz w:val="18"/>
                <w:szCs w:val="18"/>
              </w:rPr>
              <w:t>遵纪守法，品行端正、作风正派</w:t>
            </w:r>
          </w:p>
        </w:tc>
        <w:tc>
          <w:tcPr>
            <w:tcW w:w="1092" w:type="dxa"/>
            <w:vAlign w:val="center"/>
          </w:tcPr>
          <w:p w14:paraId="316BE248">
            <w:pPr>
              <w:widowControl/>
              <w:spacing w:line="400" w:lineRule="exact"/>
              <w:jc w:val="center"/>
              <w:rPr>
                <w:color w:val="auto"/>
                <w:kern w:val="0"/>
                <w:sz w:val="18"/>
                <w:szCs w:val="18"/>
              </w:rPr>
            </w:pPr>
            <w:r>
              <w:rPr>
                <w:color w:val="auto"/>
                <w:kern w:val="0"/>
                <w:sz w:val="18"/>
                <w:szCs w:val="18"/>
              </w:rPr>
              <w:t>1分</w:t>
            </w:r>
          </w:p>
        </w:tc>
        <w:tc>
          <w:tcPr>
            <w:tcW w:w="1072" w:type="dxa"/>
            <w:gridSpan w:val="2"/>
            <w:vAlign w:val="center"/>
          </w:tcPr>
          <w:p w14:paraId="4823F2DE">
            <w:pPr>
              <w:widowControl/>
              <w:spacing w:line="400" w:lineRule="exact"/>
              <w:jc w:val="left"/>
              <w:rPr>
                <w:color w:val="auto"/>
                <w:kern w:val="0"/>
                <w:sz w:val="18"/>
                <w:szCs w:val="18"/>
              </w:rPr>
            </w:pPr>
          </w:p>
        </w:tc>
      </w:tr>
      <w:tr w14:paraId="2407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82" w:type="dxa"/>
            <w:vMerge w:val="continue"/>
            <w:vAlign w:val="center"/>
          </w:tcPr>
          <w:p w14:paraId="641D7531">
            <w:pPr>
              <w:widowControl/>
              <w:spacing w:line="400" w:lineRule="exact"/>
              <w:jc w:val="center"/>
              <w:rPr>
                <w:b/>
                <w:bCs/>
                <w:color w:val="auto"/>
                <w:kern w:val="0"/>
                <w:sz w:val="18"/>
                <w:szCs w:val="18"/>
              </w:rPr>
            </w:pPr>
          </w:p>
        </w:tc>
        <w:tc>
          <w:tcPr>
            <w:tcW w:w="4287" w:type="dxa"/>
            <w:vAlign w:val="center"/>
          </w:tcPr>
          <w:p w14:paraId="1F9C7318">
            <w:pPr>
              <w:widowControl/>
              <w:spacing w:line="400" w:lineRule="exact"/>
              <w:jc w:val="left"/>
              <w:rPr>
                <w:color w:val="auto"/>
                <w:kern w:val="0"/>
                <w:sz w:val="18"/>
                <w:szCs w:val="18"/>
              </w:rPr>
            </w:pPr>
            <w:r>
              <w:rPr>
                <w:color w:val="auto"/>
                <w:kern w:val="0"/>
                <w:sz w:val="18"/>
                <w:szCs w:val="18"/>
              </w:rPr>
              <w:t>待家人亲友和善热情，乐于助人、尊师重教</w:t>
            </w:r>
          </w:p>
        </w:tc>
        <w:tc>
          <w:tcPr>
            <w:tcW w:w="1092" w:type="dxa"/>
            <w:vAlign w:val="center"/>
          </w:tcPr>
          <w:p w14:paraId="4C856FE1">
            <w:pPr>
              <w:widowControl/>
              <w:spacing w:line="400" w:lineRule="exact"/>
              <w:jc w:val="center"/>
              <w:rPr>
                <w:color w:val="auto"/>
                <w:kern w:val="0"/>
                <w:sz w:val="18"/>
                <w:szCs w:val="18"/>
              </w:rPr>
            </w:pPr>
            <w:r>
              <w:rPr>
                <w:color w:val="auto"/>
                <w:kern w:val="0"/>
                <w:sz w:val="18"/>
                <w:szCs w:val="18"/>
              </w:rPr>
              <w:t>1分</w:t>
            </w:r>
          </w:p>
        </w:tc>
        <w:tc>
          <w:tcPr>
            <w:tcW w:w="1072" w:type="dxa"/>
            <w:gridSpan w:val="2"/>
            <w:vAlign w:val="center"/>
          </w:tcPr>
          <w:p w14:paraId="0B43B5CD">
            <w:pPr>
              <w:widowControl/>
              <w:spacing w:line="400" w:lineRule="exact"/>
              <w:jc w:val="left"/>
              <w:rPr>
                <w:color w:val="auto"/>
                <w:kern w:val="0"/>
                <w:sz w:val="18"/>
                <w:szCs w:val="18"/>
              </w:rPr>
            </w:pPr>
          </w:p>
        </w:tc>
      </w:tr>
      <w:tr w14:paraId="131F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82" w:type="dxa"/>
            <w:vMerge w:val="restart"/>
            <w:vAlign w:val="center"/>
          </w:tcPr>
          <w:p w14:paraId="7AF40AF1">
            <w:pPr>
              <w:widowControl/>
              <w:spacing w:line="400" w:lineRule="exact"/>
              <w:jc w:val="center"/>
              <w:rPr>
                <w:b/>
                <w:bCs/>
                <w:color w:val="auto"/>
                <w:kern w:val="0"/>
                <w:sz w:val="18"/>
                <w:szCs w:val="18"/>
              </w:rPr>
            </w:pPr>
            <w:r>
              <w:rPr>
                <w:b/>
                <w:bCs/>
                <w:color w:val="auto"/>
                <w:kern w:val="0"/>
                <w:sz w:val="18"/>
                <w:szCs w:val="18"/>
              </w:rPr>
              <w:t>身心健康</w:t>
            </w:r>
          </w:p>
          <w:p w14:paraId="3C1739B7">
            <w:pPr>
              <w:widowControl/>
              <w:spacing w:line="400" w:lineRule="exact"/>
              <w:jc w:val="center"/>
              <w:rPr>
                <w:b/>
                <w:bCs/>
                <w:color w:val="auto"/>
                <w:kern w:val="0"/>
                <w:sz w:val="18"/>
                <w:szCs w:val="18"/>
              </w:rPr>
            </w:pPr>
            <w:r>
              <w:rPr>
                <w:rFonts w:hint="eastAsia"/>
                <w:b/>
                <w:bCs/>
                <w:color w:val="auto"/>
                <w:kern w:val="0"/>
                <w:sz w:val="18"/>
                <w:szCs w:val="18"/>
              </w:rPr>
              <w:t>（</w:t>
            </w:r>
            <w:r>
              <w:rPr>
                <w:b/>
                <w:bCs/>
                <w:color w:val="auto"/>
                <w:kern w:val="0"/>
                <w:sz w:val="18"/>
                <w:szCs w:val="18"/>
              </w:rPr>
              <w:t>1分</w:t>
            </w:r>
            <w:r>
              <w:rPr>
                <w:rFonts w:hint="eastAsia"/>
                <w:b/>
                <w:bCs/>
                <w:color w:val="auto"/>
                <w:kern w:val="0"/>
                <w:sz w:val="18"/>
                <w:szCs w:val="18"/>
              </w:rPr>
              <w:t>）</w:t>
            </w:r>
          </w:p>
        </w:tc>
        <w:tc>
          <w:tcPr>
            <w:tcW w:w="4287" w:type="dxa"/>
            <w:vAlign w:val="center"/>
          </w:tcPr>
          <w:p w14:paraId="28ED9F54">
            <w:pPr>
              <w:widowControl/>
              <w:spacing w:line="400" w:lineRule="exact"/>
              <w:jc w:val="left"/>
              <w:rPr>
                <w:color w:val="auto"/>
                <w:kern w:val="0"/>
                <w:sz w:val="18"/>
                <w:szCs w:val="18"/>
              </w:rPr>
            </w:pPr>
            <w:r>
              <w:rPr>
                <w:color w:val="auto"/>
                <w:kern w:val="0"/>
                <w:sz w:val="18"/>
                <w:szCs w:val="18"/>
              </w:rPr>
              <w:t>热爱生命，坚持体育锻炼，有健康的体质和生活方式</w:t>
            </w:r>
          </w:p>
        </w:tc>
        <w:tc>
          <w:tcPr>
            <w:tcW w:w="1092" w:type="dxa"/>
            <w:vAlign w:val="center"/>
          </w:tcPr>
          <w:p w14:paraId="3F6510CE">
            <w:pPr>
              <w:widowControl/>
              <w:spacing w:line="400" w:lineRule="exact"/>
              <w:jc w:val="center"/>
              <w:rPr>
                <w:color w:val="auto"/>
                <w:kern w:val="0"/>
                <w:sz w:val="18"/>
                <w:szCs w:val="18"/>
              </w:rPr>
            </w:pPr>
            <w:r>
              <w:rPr>
                <w:color w:val="auto"/>
                <w:kern w:val="0"/>
                <w:sz w:val="18"/>
                <w:szCs w:val="18"/>
              </w:rPr>
              <w:t>0.5分</w:t>
            </w:r>
          </w:p>
        </w:tc>
        <w:tc>
          <w:tcPr>
            <w:tcW w:w="1072" w:type="dxa"/>
            <w:gridSpan w:val="2"/>
            <w:vAlign w:val="center"/>
          </w:tcPr>
          <w:p w14:paraId="4636D670">
            <w:pPr>
              <w:widowControl/>
              <w:spacing w:line="400" w:lineRule="exact"/>
              <w:jc w:val="left"/>
              <w:rPr>
                <w:color w:val="auto"/>
                <w:kern w:val="0"/>
                <w:sz w:val="18"/>
                <w:szCs w:val="18"/>
              </w:rPr>
            </w:pPr>
          </w:p>
        </w:tc>
      </w:tr>
      <w:tr w14:paraId="3554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082" w:type="dxa"/>
            <w:vMerge w:val="continue"/>
            <w:vAlign w:val="center"/>
          </w:tcPr>
          <w:p w14:paraId="34596C6A">
            <w:pPr>
              <w:widowControl/>
              <w:spacing w:line="400" w:lineRule="exact"/>
              <w:jc w:val="center"/>
              <w:rPr>
                <w:b/>
                <w:bCs/>
                <w:color w:val="auto"/>
                <w:kern w:val="0"/>
                <w:sz w:val="18"/>
                <w:szCs w:val="18"/>
              </w:rPr>
            </w:pPr>
          </w:p>
        </w:tc>
        <w:tc>
          <w:tcPr>
            <w:tcW w:w="4287" w:type="dxa"/>
            <w:vAlign w:val="center"/>
          </w:tcPr>
          <w:p w14:paraId="4DEB78A9">
            <w:pPr>
              <w:widowControl/>
              <w:spacing w:line="400" w:lineRule="exact"/>
              <w:jc w:val="left"/>
              <w:rPr>
                <w:color w:val="auto"/>
                <w:kern w:val="0"/>
                <w:sz w:val="18"/>
                <w:szCs w:val="18"/>
              </w:rPr>
            </w:pPr>
            <w:r>
              <w:rPr>
                <w:color w:val="auto"/>
                <w:kern w:val="0"/>
                <w:sz w:val="18"/>
                <w:szCs w:val="18"/>
              </w:rPr>
              <w:t>有积极、向上的健康心态，有良好的情绪调控能力和承受挫折的能力</w:t>
            </w:r>
            <w:r>
              <w:rPr>
                <w:rFonts w:hint="eastAsia"/>
                <w:color w:val="auto"/>
                <w:kern w:val="0"/>
                <w:sz w:val="18"/>
                <w:szCs w:val="18"/>
              </w:rPr>
              <w:t>，</w:t>
            </w:r>
            <w:r>
              <w:rPr>
                <w:color w:val="auto"/>
                <w:kern w:val="0"/>
                <w:sz w:val="18"/>
                <w:szCs w:val="18"/>
              </w:rPr>
              <w:t>社会适应良好、个体发展健康</w:t>
            </w:r>
          </w:p>
        </w:tc>
        <w:tc>
          <w:tcPr>
            <w:tcW w:w="1092" w:type="dxa"/>
            <w:vAlign w:val="center"/>
          </w:tcPr>
          <w:p w14:paraId="66641B36">
            <w:pPr>
              <w:widowControl/>
              <w:spacing w:line="400" w:lineRule="exact"/>
              <w:jc w:val="center"/>
              <w:rPr>
                <w:color w:val="auto"/>
                <w:kern w:val="0"/>
                <w:sz w:val="18"/>
                <w:szCs w:val="18"/>
              </w:rPr>
            </w:pPr>
            <w:r>
              <w:rPr>
                <w:color w:val="auto"/>
                <w:kern w:val="0"/>
                <w:sz w:val="18"/>
                <w:szCs w:val="18"/>
              </w:rPr>
              <w:t>0.5分</w:t>
            </w:r>
          </w:p>
        </w:tc>
        <w:tc>
          <w:tcPr>
            <w:tcW w:w="1072" w:type="dxa"/>
            <w:gridSpan w:val="2"/>
            <w:vAlign w:val="center"/>
          </w:tcPr>
          <w:p w14:paraId="387BD09F">
            <w:pPr>
              <w:widowControl/>
              <w:spacing w:line="400" w:lineRule="exact"/>
              <w:jc w:val="left"/>
              <w:rPr>
                <w:color w:val="auto"/>
                <w:kern w:val="0"/>
                <w:sz w:val="18"/>
                <w:szCs w:val="18"/>
              </w:rPr>
            </w:pPr>
          </w:p>
        </w:tc>
      </w:tr>
      <w:tr w14:paraId="621A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2" w:type="dxa"/>
            <w:vMerge w:val="restart"/>
            <w:vAlign w:val="center"/>
          </w:tcPr>
          <w:p w14:paraId="331FAB0C">
            <w:pPr>
              <w:widowControl/>
              <w:spacing w:line="400" w:lineRule="exact"/>
              <w:jc w:val="center"/>
              <w:rPr>
                <w:b/>
                <w:bCs/>
                <w:color w:val="auto"/>
                <w:kern w:val="0"/>
                <w:sz w:val="18"/>
                <w:szCs w:val="18"/>
              </w:rPr>
            </w:pPr>
            <w:r>
              <w:rPr>
                <w:b/>
                <w:bCs/>
                <w:color w:val="auto"/>
                <w:kern w:val="0"/>
                <w:sz w:val="18"/>
                <w:szCs w:val="18"/>
              </w:rPr>
              <w:t>职业发展</w:t>
            </w:r>
          </w:p>
          <w:p w14:paraId="5804A91A">
            <w:pPr>
              <w:widowControl/>
              <w:spacing w:line="400" w:lineRule="exact"/>
              <w:jc w:val="center"/>
              <w:rPr>
                <w:b/>
                <w:bCs/>
                <w:color w:val="auto"/>
                <w:kern w:val="0"/>
                <w:sz w:val="18"/>
                <w:szCs w:val="18"/>
              </w:rPr>
            </w:pPr>
            <w:r>
              <w:rPr>
                <w:rFonts w:hint="eastAsia"/>
                <w:b/>
                <w:bCs/>
                <w:color w:val="auto"/>
                <w:kern w:val="0"/>
                <w:sz w:val="18"/>
                <w:szCs w:val="18"/>
              </w:rPr>
              <w:t>（</w:t>
            </w:r>
            <w:r>
              <w:rPr>
                <w:b/>
                <w:bCs/>
                <w:color w:val="auto"/>
                <w:kern w:val="0"/>
                <w:sz w:val="18"/>
                <w:szCs w:val="18"/>
              </w:rPr>
              <w:t>1分</w:t>
            </w:r>
            <w:r>
              <w:rPr>
                <w:rFonts w:hint="eastAsia"/>
                <w:b/>
                <w:bCs/>
                <w:color w:val="auto"/>
                <w:kern w:val="0"/>
                <w:sz w:val="18"/>
                <w:szCs w:val="18"/>
              </w:rPr>
              <w:t>）</w:t>
            </w:r>
          </w:p>
        </w:tc>
        <w:tc>
          <w:tcPr>
            <w:tcW w:w="4287" w:type="dxa"/>
            <w:vAlign w:val="center"/>
          </w:tcPr>
          <w:p w14:paraId="7478CE94">
            <w:pPr>
              <w:widowControl/>
              <w:spacing w:line="400" w:lineRule="exact"/>
              <w:jc w:val="left"/>
              <w:rPr>
                <w:color w:val="auto"/>
                <w:kern w:val="0"/>
                <w:sz w:val="18"/>
                <w:szCs w:val="18"/>
              </w:rPr>
            </w:pPr>
            <w:r>
              <w:rPr>
                <w:color w:val="auto"/>
                <w:kern w:val="0"/>
                <w:sz w:val="18"/>
                <w:szCs w:val="18"/>
              </w:rPr>
              <w:t>学习目的明确，态度端正、学习能力突出、讲究学习方法，效果良好</w:t>
            </w:r>
          </w:p>
        </w:tc>
        <w:tc>
          <w:tcPr>
            <w:tcW w:w="1092" w:type="dxa"/>
            <w:vAlign w:val="center"/>
          </w:tcPr>
          <w:p w14:paraId="08FF0C15">
            <w:pPr>
              <w:widowControl/>
              <w:spacing w:line="400" w:lineRule="exact"/>
              <w:jc w:val="center"/>
              <w:rPr>
                <w:color w:val="auto"/>
                <w:kern w:val="0"/>
                <w:sz w:val="18"/>
                <w:szCs w:val="18"/>
              </w:rPr>
            </w:pPr>
            <w:r>
              <w:rPr>
                <w:color w:val="auto"/>
                <w:kern w:val="0"/>
                <w:sz w:val="18"/>
                <w:szCs w:val="18"/>
              </w:rPr>
              <w:t>0.5分</w:t>
            </w:r>
          </w:p>
        </w:tc>
        <w:tc>
          <w:tcPr>
            <w:tcW w:w="1072" w:type="dxa"/>
            <w:gridSpan w:val="2"/>
            <w:vAlign w:val="center"/>
          </w:tcPr>
          <w:p w14:paraId="4A34B83C">
            <w:pPr>
              <w:widowControl/>
              <w:spacing w:line="400" w:lineRule="exact"/>
              <w:jc w:val="left"/>
              <w:rPr>
                <w:color w:val="auto"/>
                <w:kern w:val="0"/>
                <w:sz w:val="18"/>
                <w:szCs w:val="18"/>
              </w:rPr>
            </w:pPr>
          </w:p>
        </w:tc>
      </w:tr>
      <w:tr w14:paraId="411D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082" w:type="dxa"/>
            <w:vMerge w:val="continue"/>
            <w:vAlign w:val="center"/>
          </w:tcPr>
          <w:p w14:paraId="05AB0C2D">
            <w:pPr>
              <w:widowControl/>
              <w:spacing w:line="400" w:lineRule="exact"/>
              <w:jc w:val="center"/>
              <w:rPr>
                <w:b/>
                <w:bCs/>
                <w:color w:val="auto"/>
                <w:kern w:val="0"/>
                <w:sz w:val="18"/>
                <w:szCs w:val="18"/>
              </w:rPr>
            </w:pPr>
          </w:p>
        </w:tc>
        <w:tc>
          <w:tcPr>
            <w:tcW w:w="4287" w:type="dxa"/>
            <w:vMerge w:val="restart"/>
            <w:vAlign w:val="center"/>
          </w:tcPr>
          <w:p w14:paraId="567FF318">
            <w:pPr>
              <w:widowControl/>
              <w:spacing w:line="400" w:lineRule="exact"/>
              <w:jc w:val="left"/>
              <w:rPr>
                <w:color w:val="auto"/>
                <w:kern w:val="0"/>
                <w:sz w:val="18"/>
                <w:szCs w:val="18"/>
              </w:rPr>
            </w:pPr>
            <w:r>
              <w:rPr>
                <w:color w:val="auto"/>
                <w:kern w:val="0"/>
                <w:sz w:val="18"/>
                <w:szCs w:val="18"/>
              </w:rPr>
              <w:t>积极参加各类培训和素质拓展活动，有一定的奋斗目标和职业生涯规划，就业能力强</w:t>
            </w:r>
          </w:p>
        </w:tc>
        <w:tc>
          <w:tcPr>
            <w:tcW w:w="1092" w:type="dxa"/>
            <w:vMerge w:val="restart"/>
            <w:vAlign w:val="center"/>
          </w:tcPr>
          <w:p w14:paraId="79AFEEC9">
            <w:pPr>
              <w:widowControl/>
              <w:spacing w:line="400" w:lineRule="exact"/>
              <w:jc w:val="center"/>
              <w:rPr>
                <w:color w:val="auto"/>
                <w:kern w:val="0"/>
                <w:sz w:val="18"/>
                <w:szCs w:val="18"/>
              </w:rPr>
            </w:pPr>
            <w:r>
              <w:rPr>
                <w:color w:val="auto"/>
                <w:kern w:val="0"/>
                <w:sz w:val="18"/>
                <w:szCs w:val="18"/>
              </w:rPr>
              <w:t>0.5分</w:t>
            </w:r>
          </w:p>
        </w:tc>
        <w:tc>
          <w:tcPr>
            <w:tcW w:w="1072" w:type="dxa"/>
            <w:gridSpan w:val="2"/>
            <w:vMerge w:val="restart"/>
            <w:vAlign w:val="center"/>
          </w:tcPr>
          <w:p w14:paraId="4E42B6F8">
            <w:pPr>
              <w:widowControl/>
              <w:spacing w:line="400" w:lineRule="exact"/>
              <w:jc w:val="center"/>
              <w:rPr>
                <w:color w:val="auto"/>
                <w:kern w:val="0"/>
                <w:sz w:val="18"/>
                <w:szCs w:val="18"/>
              </w:rPr>
            </w:pPr>
          </w:p>
        </w:tc>
      </w:tr>
      <w:tr w14:paraId="185F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82" w:type="dxa"/>
            <w:vMerge w:val="continue"/>
            <w:vAlign w:val="center"/>
          </w:tcPr>
          <w:p w14:paraId="18E9E2BF">
            <w:pPr>
              <w:widowControl/>
              <w:spacing w:line="400" w:lineRule="exact"/>
              <w:jc w:val="center"/>
              <w:rPr>
                <w:b/>
                <w:bCs/>
                <w:color w:val="auto"/>
                <w:kern w:val="0"/>
                <w:sz w:val="18"/>
                <w:szCs w:val="18"/>
              </w:rPr>
            </w:pPr>
          </w:p>
        </w:tc>
        <w:tc>
          <w:tcPr>
            <w:tcW w:w="4287" w:type="dxa"/>
            <w:vMerge w:val="continue"/>
            <w:vAlign w:val="center"/>
          </w:tcPr>
          <w:p w14:paraId="74E86D0C">
            <w:pPr>
              <w:widowControl/>
              <w:spacing w:line="400" w:lineRule="exact"/>
              <w:jc w:val="left"/>
              <w:rPr>
                <w:color w:val="auto"/>
                <w:kern w:val="0"/>
                <w:sz w:val="18"/>
                <w:szCs w:val="18"/>
              </w:rPr>
            </w:pPr>
          </w:p>
        </w:tc>
        <w:tc>
          <w:tcPr>
            <w:tcW w:w="1092" w:type="dxa"/>
            <w:vMerge w:val="continue"/>
            <w:vAlign w:val="center"/>
          </w:tcPr>
          <w:p w14:paraId="78DCCE91">
            <w:pPr>
              <w:widowControl/>
              <w:spacing w:line="400" w:lineRule="exact"/>
              <w:jc w:val="left"/>
              <w:rPr>
                <w:color w:val="auto"/>
                <w:kern w:val="0"/>
                <w:sz w:val="18"/>
                <w:szCs w:val="18"/>
              </w:rPr>
            </w:pPr>
          </w:p>
        </w:tc>
        <w:tc>
          <w:tcPr>
            <w:tcW w:w="1072" w:type="dxa"/>
            <w:gridSpan w:val="2"/>
            <w:vMerge w:val="continue"/>
            <w:vAlign w:val="center"/>
          </w:tcPr>
          <w:p w14:paraId="12A414B3">
            <w:pPr>
              <w:widowControl/>
              <w:spacing w:line="400" w:lineRule="exact"/>
              <w:jc w:val="left"/>
              <w:rPr>
                <w:color w:val="auto"/>
                <w:kern w:val="0"/>
                <w:sz w:val="18"/>
                <w:szCs w:val="18"/>
              </w:rPr>
            </w:pPr>
          </w:p>
        </w:tc>
      </w:tr>
      <w:tr w14:paraId="2C4A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82" w:type="dxa"/>
            <w:vMerge w:val="restart"/>
            <w:vAlign w:val="center"/>
          </w:tcPr>
          <w:p w14:paraId="7E52E14F">
            <w:pPr>
              <w:widowControl/>
              <w:spacing w:line="400" w:lineRule="exact"/>
              <w:jc w:val="center"/>
              <w:rPr>
                <w:b/>
                <w:bCs/>
                <w:color w:val="auto"/>
                <w:kern w:val="0"/>
                <w:sz w:val="18"/>
                <w:szCs w:val="18"/>
              </w:rPr>
            </w:pPr>
            <w:r>
              <w:rPr>
                <w:b/>
                <w:bCs/>
                <w:color w:val="auto"/>
                <w:kern w:val="0"/>
                <w:sz w:val="18"/>
                <w:szCs w:val="18"/>
              </w:rPr>
              <w:t>社会工作</w:t>
            </w:r>
          </w:p>
          <w:p w14:paraId="3763486D">
            <w:pPr>
              <w:widowControl/>
              <w:spacing w:line="400" w:lineRule="exact"/>
              <w:jc w:val="center"/>
              <w:rPr>
                <w:b/>
                <w:bCs/>
                <w:color w:val="auto"/>
                <w:kern w:val="0"/>
                <w:sz w:val="18"/>
                <w:szCs w:val="18"/>
              </w:rPr>
            </w:pPr>
            <w:r>
              <w:rPr>
                <w:rFonts w:hint="eastAsia"/>
                <w:b/>
                <w:bCs/>
                <w:color w:val="auto"/>
                <w:kern w:val="0"/>
                <w:sz w:val="18"/>
                <w:szCs w:val="18"/>
              </w:rPr>
              <w:t>（</w:t>
            </w:r>
            <w:r>
              <w:rPr>
                <w:b/>
                <w:bCs/>
                <w:color w:val="auto"/>
                <w:kern w:val="0"/>
                <w:sz w:val="18"/>
                <w:szCs w:val="18"/>
              </w:rPr>
              <w:t>4分</w:t>
            </w:r>
            <w:r>
              <w:rPr>
                <w:rFonts w:hint="eastAsia"/>
                <w:b/>
                <w:bCs/>
                <w:color w:val="auto"/>
                <w:kern w:val="0"/>
                <w:sz w:val="18"/>
                <w:szCs w:val="18"/>
              </w:rPr>
              <w:t>）</w:t>
            </w:r>
          </w:p>
        </w:tc>
        <w:tc>
          <w:tcPr>
            <w:tcW w:w="4287" w:type="dxa"/>
            <w:vAlign w:val="center"/>
          </w:tcPr>
          <w:p w14:paraId="1AD9DC6A">
            <w:pPr>
              <w:widowControl/>
              <w:spacing w:line="400" w:lineRule="exact"/>
              <w:jc w:val="left"/>
              <w:rPr>
                <w:color w:val="auto"/>
                <w:kern w:val="0"/>
                <w:sz w:val="18"/>
                <w:szCs w:val="18"/>
              </w:rPr>
            </w:pPr>
            <w:r>
              <w:rPr>
                <w:color w:val="auto"/>
                <w:kern w:val="0"/>
                <w:sz w:val="18"/>
                <w:szCs w:val="18"/>
              </w:rPr>
              <w:t>担任社会工作职位、工作出色满意度高</w:t>
            </w:r>
          </w:p>
        </w:tc>
        <w:tc>
          <w:tcPr>
            <w:tcW w:w="1092" w:type="dxa"/>
            <w:vAlign w:val="center"/>
          </w:tcPr>
          <w:p w14:paraId="79CBA0D4">
            <w:pPr>
              <w:widowControl/>
              <w:spacing w:line="400" w:lineRule="exact"/>
              <w:jc w:val="center"/>
              <w:rPr>
                <w:color w:val="auto"/>
                <w:kern w:val="0"/>
                <w:sz w:val="18"/>
                <w:szCs w:val="18"/>
              </w:rPr>
            </w:pPr>
            <w:r>
              <w:rPr>
                <w:color w:val="auto"/>
                <w:kern w:val="0"/>
                <w:sz w:val="18"/>
                <w:szCs w:val="18"/>
              </w:rPr>
              <w:t>1分</w:t>
            </w:r>
          </w:p>
        </w:tc>
        <w:tc>
          <w:tcPr>
            <w:tcW w:w="1072" w:type="dxa"/>
            <w:gridSpan w:val="2"/>
            <w:vAlign w:val="center"/>
          </w:tcPr>
          <w:p w14:paraId="7C857E20">
            <w:pPr>
              <w:widowControl/>
              <w:spacing w:line="400" w:lineRule="exact"/>
              <w:jc w:val="left"/>
              <w:rPr>
                <w:color w:val="auto"/>
                <w:kern w:val="0"/>
                <w:sz w:val="18"/>
                <w:szCs w:val="18"/>
              </w:rPr>
            </w:pPr>
          </w:p>
        </w:tc>
      </w:tr>
      <w:tr w14:paraId="1666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82" w:type="dxa"/>
            <w:vMerge w:val="continue"/>
            <w:vAlign w:val="center"/>
          </w:tcPr>
          <w:p w14:paraId="543804E1">
            <w:pPr>
              <w:widowControl/>
              <w:spacing w:line="400" w:lineRule="exact"/>
              <w:jc w:val="left"/>
              <w:rPr>
                <w:b/>
                <w:bCs/>
                <w:color w:val="auto"/>
                <w:kern w:val="0"/>
                <w:sz w:val="18"/>
                <w:szCs w:val="18"/>
              </w:rPr>
            </w:pPr>
          </w:p>
        </w:tc>
        <w:tc>
          <w:tcPr>
            <w:tcW w:w="4287" w:type="dxa"/>
            <w:vAlign w:val="center"/>
          </w:tcPr>
          <w:p w14:paraId="49A5D802">
            <w:pPr>
              <w:widowControl/>
              <w:spacing w:line="400" w:lineRule="exact"/>
              <w:jc w:val="left"/>
              <w:rPr>
                <w:color w:val="auto"/>
                <w:kern w:val="0"/>
                <w:sz w:val="18"/>
                <w:szCs w:val="18"/>
              </w:rPr>
            </w:pPr>
            <w:r>
              <w:rPr>
                <w:color w:val="auto"/>
                <w:kern w:val="0"/>
                <w:sz w:val="18"/>
                <w:szCs w:val="18"/>
              </w:rPr>
              <w:t>在易班上活跃、关心集体</w:t>
            </w:r>
          </w:p>
        </w:tc>
        <w:tc>
          <w:tcPr>
            <w:tcW w:w="1092" w:type="dxa"/>
            <w:vAlign w:val="center"/>
          </w:tcPr>
          <w:p w14:paraId="4536B58D">
            <w:pPr>
              <w:widowControl/>
              <w:spacing w:line="400" w:lineRule="exact"/>
              <w:jc w:val="center"/>
              <w:rPr>
                <w:color w:val="auto"/>
                <w:kern w:val="0"/>
                <w:sz w:val="18"/>
                <w:szCs w:val="18"/>
              </w:rPr>
            </w:pPr>
            <w:r>
              <w:rPr>
                <w:color w:val="auto"/>
                <w:kern w:val="0"/>
                <w:sz w:val="18"/>
                <w:szCs w:val="18"/>
              </w:rPr>
              <w:t>1分</w:t>
            </w:r>
          </w:p>
        </w:tc>
        <w:tc>
          <w:tcPr>
            <w:tcW w:w="1072" w:type="dxa"/>
            <w:gridSpan w:val="2"/>
            <w:vAlign w:val="center"/>
          </w:tcPr>
          <w:p w14:paraId="08724D89">
            <w:pPr>
              <w:widowControl/>
              <w:spacing w:line="400" w:lineRule="exact"/>
              <w:jc w:val="left"/>
              <w:rPr>
                <w:color w:val="auto"/>
                <w:kern w:val="0"/>
                <w:sz w:val="18"/>
                <w:szCs w:val="18"/>
              </w:rPr>
            </w:pPr>
          </w:p>
        </w:tc>
      </w:tr>
      <w:tr w14:paraId="73A3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082" w:type="dxa"/>
            <w:vMerge w:val="continue"/>
            <w:vAlign w:val="center"/>
          </w:tcPr>
          <w:p w14:paraId="5E6422B9">
            <w:pPr>
              <w:widowControl/>
              <w:spacing w:line="400" w:lineRule="exact"/>
              <w:jc w:val="left"/>
              <w:rPr>
                <w:b/>
                <w:bCs/>
                <w:color w:val="auto"/>
                <w:kern w:val="0"/>
                <w:sz w:val="18"/>
                <w:szCs w:val="18"/>
              </w:rPr>
            </w:pPr>
          </w:p>
        </w:tc>
        <w:tc>
          <w:tcPr>
            <w:tcW w:w="4287" w:type="dxa"/>
            <w:vAlign w:val="center"/>
          </w:tcPr>
          <w:p w14:paraId="4CA94711">
            <w:pPr>
              <w:widowControl/>
              <w:spacing w:line="400" w:lineRule="exact"/>
              <w:jc w:val="left"/>
              <w:rPr>
                <w:color w:val="auto"/>
                <w:kern w:val="0"/>
                <w:sz w:val="18"/>
                <w:szCs w:val="18"/>
              </w:rPr>
            </w:pPr>
            <w:r>
              <w:rPr>
                <w:color w:val="auto"/>
                <w:kern w:val="0"/>
                <w:sz w:val="18"/>
                <w:szCs w:val="18"/>
              </w:rPr>
              <w:t>党员充分发挥模范带头作用，入党积极分子思想上行动上均积极向党组织靠拢，群众积极参与组织安排的各项活动</w:t>
            </w:r>
            <w:r>
              <w:rPr>
                <w:rFonts w:hint="eastAsia"/>
                <w:color w:val="auto"/>
                <w:kern w:val="0"/>
                <w:sz w:val="18"/>
                <w:szCs w:val="18"/>
              </w:rPr>
              <w:t>，</w:t>
            </w:r>
            <w:r>
              <w:rPr>
                <w:color w:val="auto"/>
                <w:kern w:val="0"/>
                <w:sz w:val="18"/>
                <w:szCs w:val="18"/>
              </w:rPr>
              <w:t>为集体</w:t>
            </w:r>
            <w:r>
              <w:rPr>
                <w:rFonts w:hint="eastAsia"/>
                <w:color w:val="auto"/>
                <w:kern w:val="0"/>
                <w:sz w:val="18"/>
                <w:szCs w:val="18"/>
              </w:rPr>
              <w:t>做出</w:t>
            </w:r>
            <w:r>
              <w:rPr>
                <w:color w:val="auto"/>
                <w:kern w:val="0"/>
                <w:sz w:val="18"/>
                <w:szCs w:val="18"/>
              </w:rPr>
              <w:t>一定贡献</w:t>
            </w:r>
          </w:p>
        </w:tc>
        <w:tc>
          <w:tcPr>
            <w:tcW w:w="1092" w:type="dxa"/>
            <w:vAlign w:val="center"/>
          </w:tcPr>
          <w:p w14:paraId="31AAC8C4">
            <w:pPr>
              <w:widowControl/>
              <w:spacing w:line="400" w:lineRule="exact"/>
              <w:jc w:val="center"/>
              <w:rPr>
                <w:color w:val="auto"/>
                <w:kern w:val="0"/>
                <w:sz w:val="18"/>
                <w:szCs w:val="18"/>
              </w:rPr>
            </w:pPr>
            <w:r>
              <w:rPr>
                <w:color w:val="auto"/>
                <w:kern w:val="0"/>
                <w:sz w:val="18"/>
                <w:szCs w:val="18"/>
              </w:rPr>
              <w:t>1分</w:t>
            </w:r>
          </w:p>
        </w:tc>
        <w:tc>
          <w:tcPr>
            <w:tcW w:w="1072" w:type="dxa"/>
            <w:gridSpan w:val="2"/>
            <w:vAlign w:val="center"/>
          </w:tcPr>
          <w:p w14:paraId="2DA3BC7A">
            <w:pPr>
              <w:widowControl/>
              <w:spacing w:line="400" w:lineRule="exact"/>
              <w:jc w:val="left"/>
              <w:rPr>
                <w:color w:val="auto"/>
                <w:kern w:val="0"/>
                <w:sz w:val="18"/>
                <w:szCs w:val="18"/>
              </w:rPr>
            </w:pPr>
          </w:p>
        </w:tc>
      </w:tr>
      <w:tr w14:paraId="3A1F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082" w:type="dxa"/>
            <w:vMerge w:val="continue"/>
            <w:vAlign w:val="center"/>
          </w:tcPr>
          <w:p w14:paraId="3C72899E">
            <w:pPr>
              <w:widowControl/>
              <w:spacing w:line="400" w:lineRule="exact"/>
              <w:jc w:val="left"/>
              <w:rPr>
                <w:b/>
                <w:bCs/>
                <w:color w:val="auto"/>
                <w:kern w:val="0"/>
                <w:sz w:val="18"/>
                <w:szCs w:val="18"/>
              </w:rPr>
            </w:pPr>
          </w:p>
        </w:tc>
        <w:tc>
          <w:tcPr>
            <w:tcW w:w="4287" w:type="dxa"/>
            <w:vAlign w:val="center"/>
          </w:tcPr>
          <w:p w14:paraId="4B6A8A03">
            <w:pPr>
              <w:widowControl/>
              <w:spacing w:line="400" w:lineRule="exact"/>
              <w:jc w:val="left"/>
              <w:rPr>
                <w:color w:val="auto"/>
                <w:kern w:val="0"/>
                <w:sz w:val="18"/>
                <w:szCs w:val="18"/>
              </w:rPr>
            </w:pPr>
            <w:r>
              <w:rPr>
                <w:color w:val="auto"/>
                <w:kern w:val="0"/>
                <w:sz w:val="18"/>
                <w:szCs w:val="18"/>
              </w:rPr>
              <w:t>参与公益活动和志愿者服务</w:t>
            </w:r>
          </w:p>
        </w:tc>
        <w:tc>
          <w:tcPr>
            <w:tcW w:w="1092" w:type="dxa"/>
            <w:vAlign w:val="center"/>
          </w:tcPr>
          <w:p w14:paraId="2DD90CA2">
            <w:pPr>
              <w:widowControl/>
              <w:spacing w:line="400" w:lineRule="exact"/>
              <w:jc w:val="center"/>
              <w:rPr>
                <w:color w:val="auto"/>
                <w:kern w:val="0"/>
                <w:sz w:val="18"/>
                <w:szCs w:val="18"/>
              </w:rPr>
            </w:pPr>
            <w:r>
              <w:rPr>
                <w:color w:val="auto"/>
                <w:kern w:val="0"/>
                <w:sz w:val="18"/>
                <w:szCs w:val="18"/>
              </w:rPr>
              <w:t>1分</w:t>
            </w:r>
          </w:p>
        </w:tc>
        <w:tc>
          <w:tcPr>
            <w:tcW w:w="1072" w:type="dxa"/>
            <w:gridSpan w:val="2"/>
            <w:vAlign w:val="center"/>
          </w:tcPr>
          <w:p w14:paraId="20D34217">
            <w:pPr>
              <w:widowControl/>
              <w:spacing w:line="400" w:lineRule="exact"/>
              <w:jc w:val="left"/>
              <w:rPr>
                <w:color w:val="auto"/>
                <w:kern w:val="0"/>
                <w:sz w:val="18"/>
                <w:szCs w:val="18"/>
              </w:rPr>
            </w:pPr>
          </w:p>
        </w:tc>
      </w:tr>
      <w:tr w14:paraId="124C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82" w:type="dxa"/>
            <w:vAlign w:val="center"/>
          </w:tcPr>
          <w:p w14:paraId="3A3D64C8">
            <w:pPr>
              <w:widowControl/>
              <w:spacing w:line="400" w:lineRule="exact"/>
              <w:jc w:val="center"/>
              <w:rPr>
                <w:b/>
                <w:bCs/>
                <w:color w:val="auto"/>
                <w:kern w:val="0"/>
                <w:szCs w:val="21"/>
              </w:rPr>
            </w:pPr>
            <w:r>
              <w:rPr>
                <w:b/>
                <w:bCs/>
                <w:color w:val="auto"/>
                <w:kern w:val="0"/>
                <w:szCs w:val="21"/>
              </w:rPr>
              <w:t>总分</w:t>
            </w:r>
          </w:p>
        </w:tc>
        <w:tc>
          <w:tcPr>
            <w:tcW w:w="5397" w:type="dxa"/>
            <w:gridSpan w:val="3"/>
            <w:noWrap/>
            <w:vAlign w:val="center"/>
          </w:tcPr>
          <w:p w14:paraId="2257A980">
            <w:pPr>
              <w:widowControl/>
              <w:spacing w:line="400" w:lineRule="exact"/>
              <w:jc w:val="center"/>
              <w:rPr>
                <w:color w:val="auto"/>
                <w:kern w:val="0"/>
                <w:sz w:val="18"/>
                <w:szCs w:val="18"/>
              </w:rPr>
            </w:pPr>
            <w:r>
              <w:rPr>
                <w:rFonts w:hint="eastAsia"/>
                <w:color w:val="auto"/>
                <w:kern w:val="0"/>
                <w:sz w:val="18"/>
                <w:szCs w:val="18"/>
              </w:rPr>
              <w:t>10</w:t>
            </w:r>
          </w:p>
        </w:tc>
        <w:tc>
          <w:tcPr>
            <w:tcW w:w="1054" w:type="dxa"/>
            <w:vAlign w:val="center"/>
          </w:tcPr>
          <w:p w14:paraId="7E8D153F">
            <w:pPr>
              <w:widowControl/>
              <w:spacing w:line="400" w:lineRule="exact"/>
              <w:jc w:val="center"/>
              <w:rPr>
                <w:color w:val="auto"/>
                <w:kern w:val="0"/>
                <w:sz w:val="18"/>
                <w:szCs w:val="18"/>
              </w:rPr>
            </w:pPr>
          </w:p>
        </w:tc>
      </w:tr>
      <w:tr w14:paraId="517C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082" w:type="dxa"/>
            <w:vAlign w:val="center"/>
          </w:tcPr>
          <w:p w14:paraId="0CD59569">
            <w:pPr>
              <w:widowControl/>
              <w:spacing w:line="400" w:lineRule="exact"/>
              <w:jc w:val="center"/>
              <w:rPr>
                <w:b/>
                <w:bCs/>
                <w:color w:val="auto"/>
                <w:kern w:val="0"/>
                <w:szCs w:val="21"/>
              </w:rPr>
            </w:pPr>
            <w:r>
              <w:rPr>
                <w:b/>
                <w:bCs/>
                <w:color w:val="auto"/>
                <w:kern w:val="0"/>
                <w:szCs w:val="21"/>
              </w:rPr>
              <w:t>导师</w:t>
            </w:r>
            <w:r>
              <w:rPr>
                <w:rFonts w:hint="eastAsia"/>
                <w:b/>
                <w:bCs/>
                <w:color w:val="auto"/>
                <w:kern w:val="0"/>
                <w:szCs w:val="21"/>
              </w:rPr>
              <w:t>/辅导员</w:t>
            </w:r>
          </w:p>
          <w:p w14:paraId="4F3AFA6B">
            <w:pPr>
              <w:widowControl/>
              <w:spacing w:line="400" w:lineRule="exact"/>
              <w:jc w:val="center"/>
              <w:rPr>
                <w:b/>
                <w:bCs/>
                <w:color w:val="auto"/>
                <w:kern w:val="0"/>
                <w:szCs w:val="21"/>
              </w:rPr>
            </w:pPr>
            <w:r>
              <w:rPr>
                <w:b/>
                <w:bCs/>
                <w:color w:val="auto"/>
                <w:kern w:val="0"/>
                <w:szCs w:val="21"/>
              </w:rPr>
              <w:t>推荐意见</w:t>
            </w:r>
          </w:p>
        </w:tc>
        <w:tc>
          <w:tcPr>
            <w:tcW w:w="6451" w:type="dxa"/>
            <w:gridSpan w:val="4"/>
            <w:noWrap/>
            <w:vAlign w:val="center"/>
          </w:tcPr>
          <w:p w14:paraId="0A6B8048">
            <w:pPr>
              <w:widowControl/>
              <w:spacing w:line="400" w:lineRule="exact"/>
              <w:jc w:val="left"/>
              <w:rPr>
                <w:color w:val="auto"/>
                <w:kern w:val="0"/>
                <w:sz w:val="18"/>
                <w:szCs w:val="18"/>
              </w:rPr>
            </w:pPr>
          </w:p>
          <w:p w14:paraId="4C9ED8C4">
            <w:pPr>
              <w:widowControl/>
              <w:spacing w:line="400" w:lineRule="exact"/>
              <w:jc w:val="left"/>
              <w:rPr>
                <w:color w:val="auto"/>
                <w:kern w:val="0"/>
                <w:sz w:val="18"/>
                <w:szCs w:val="18"/>
              </w:rPr>
            </w:pPr>
          </w:p>
          <w:p w14:paraId="35E7628C">
            <w:pPr>
              <w:widowControl/>
              <w:spacing w:line="400" w:lineRule="exact"/>
              <w:jc w:val="left"/>
              <w:rPr>
                <w:color w:val="auto"/>
                <w:kern w:val="0"/>
                <w:sz w:val="18"/>
                <w:szCs w:val="18"/>
              </w:rPr>
            </w:pPr>
          </w:p>
          <w:p w14:paraId="362FDF2D">
            <w:pPr>
              <w:widowControl/>
              <w:spacing w:line="400" w:lineRule="exact"/>
              <w:jc w:val="left"/>
              <w:rPr>
                <w:color w:val="auto"/>
                <w:kern w:val="0"/>
                <w:sz w:val="18"/>
                <w:szCs w:val="18"/>
              </w:rPr>
            </w:pPr>
          </w:p>
          <w:p w14:paraId="6CD5D7A2">
            <w:pPr>
              <w:widowControl/>
              <w:wordWrap w:val="0"/>
              <w:spacing w:line="400" w:lineRule="exact"/>
              <w:rPr>
                <w:b/>
                <w:color w:val="auto"/>
                <w:kern w:val="0"/>
                <w:sz w:val="18"/>
                <w:szCs w:val="18"/>
              </w:rPr>
            </w:pPr>
            <w:r>
              <w:rPr>
                <w:rFonts w:hint="eastAsia"/>
                <w:b/>
                <w:color w:val="auto"/>
                <w:kern w:val="0"/>
                <w:sz w:val="18"/>
                <w:szCs w:val="18"/>
              </w:rPr>
              <w:t>导师</w:t>
            </w:r>
            <w:r>
              <w:rPr>
                <w:rFonts w:hint="eastAsia"/>
                <w:b/>
                <w:bCs/>
                <w:color w:val="auto"/>
                <w:kern w:val="0"/>
                <w:szCs w:val="21"/>
              </w:rPr>
              <w:t>/</w:t>
            </w:r>
            <w:r>
              <w:rPr>
                <w:rFonts w:hint="eastAsia"/>
                <w:b/>
                <w:color w:val="auto"/>
                <w:kern w:val="0"/>
                <w:sz w:val="18"/>
                <w:szCs w:val="18"/>
              </w:rPr>
              <w:t xml:space="preserve">辅导员签名：                                                     </w:t>
            </w:r>
          </w:p>
        </w:tc>
      </w:tr>
    </w:tbl>
    <w:p w14:paraId="2F03489A">
      <w:pPr>
        <w:spacing w:before="156" w:beforeLines="50" w:after="156" w:afterLines="50" w:line="360" w:lineRule="auto"/>
        <w:rPr>
          <w:b/>
          <w:bCs/>
          <w:color w:val="auto"/>
          <w:sz w:val="24"/>
        </w:rPr>
      </w:pPr>
    </w:p>
    <w:p w14:paraId="595E3DC6">
      <w:pPr>
        <w:spacing w:before="156" w:beforeLines="50" w:after="156" w:afterLines="50" w:line="360" w:lineRule="auto"/>
        <w:rPr>
          <w:b/>
          <w:bCs/>
          <w:color w:val="auto"/>
          <w:sz w:val="24"/>
        </w:rPr>
      </w:pPr>
      <w:r>
        <w:rPr>
          <w:b/>
          <w:bCs/>
          <w:color w:val="auto"/>
          <w:sz w:val="24"/>
        </w:rPr>
        <w:t>附件2：</w:t>
      </w:r>
    </w:p>
    <w:p w14:paraId="2B2573DB">
      <w:pPr>
        <w:spacing w:before="156" w:beforeLines="50" w:after="156" w:afterLines="50" w:line="360" w:lineRule="auto"/>
        <w:jc w:val="center"/>
        <w:rPr>
          <w:b/>
          <w:bCs/>
          <w:color w:val="auto"/>
          <w:szCs w:val="21"/>
          <w:highlight w:val="none"/>
        </w:rPr>
      </w:pPr>
      <w:r>
        <w:rPr>
          <w:b/>
          <w:bCs/>
          <w:color w:val="auto"/>
          <w:szCs w:val="21"/>
          <w:highlight w:val="none"/>
        </w:rPr>
        <w:t>经济管理学院研究生科研</w:t>
      </w:r>
      <w:r>
        <w:rPr>
          <w:rFonts w:hint="eastAsia"/>
          <w:b/>
          <w:bCs/>
          <w:color w:val="auto"/>
          <w:szCs w:val="21"/>
          <w:highlight w:val="none"/>
        </w:rPr>
        <w:t>及实践</w:t>
      </w:r>
      <w:r>
        <w:rPr>
          <w:b/>
          <w:bCs/>
          <w:color w:val="auto"/>
          <w:szCs w:val="21"/>
          <w:highlight w:val="none"/>
        </w:rPr>
        <w:t>成果计分表（C）</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3923"/>
        <w:gridCol w:w="1019"/>
        <w:gridCol w:w="3115"/>
      </w:tblGrid>
      <w:tr w14:paraId="0A0E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exact"/>
        </w:trPr>
        <w:tc>
          <w:tcPr>
            <w:tcW w:w="4385" w:type="dxa"/>
            <w:gridSpan w:val="2"/>
            <w:tcBorders>
              <w:top w:val="single" w:color="auto" w:sz="4" w:space="0"/>
              <w:left w:val="single" w:color="auto" w:sz="4" w:space="0"/>
              <w:bottom w:val="single" w:color="auto" w:sz="4" w:space="0"/>
              <w:right w:val="single" w:color="auto" w:sz="4" w:space="0"/>
            </w:tcBorders>
            <w:vAlign w:val="center"/>
          </w:tcPr>
          <w:p w14:paraId="17AFA4D3">
            <w:pPr>
              <w:spacing w:line="360" w:lineRule="auto"/>
              <w:jc w:val="center"/>
              <w:rPr>
                <w:rFonts w:hint="eastAsia" w:ascii="宋体" w:hAnsi="宋体" w:cs="宋体"/>
                <w:color w:val="auto"/>
                <w:szCs w:val="21"/>
              </w:rPr>
            </w:pPr>
            <w:r>
              <w:rPr>
                <w:rFonts w:hint="eastAsia" w:ascii="宋体" w:hAnsi="宋体" w:cs="宋体"/>
                <w:color w:val="auto"/>
                <w:szCs w:val="21"/>
              </w:rPr>
              <w:t>项目</w:t>
            </w:r>
          </w:p>
        </w:tc>
        <w:tc>
          <w:tcPr>
            <w:tcW w:w="1019" w:type="dxa"/>
            <w:tcBorders>
              <w:top w:val="single" w:color="auto" w:sz="4" w:space="0"/>
              <w:left w:val="single" w:color="auto" w:sz="4" w:space="0"/>
              <w:bottom w:val="single" w:color="auto" w:sz="4" w:space="0"/>
              <w:right w:val="single" w:color="auto" w:sz="4" w:space="0"/>
            </w:tcBorders>
            <w:vAlign w:val="center"/>
          </w:tcPr>
          <w:p w14:paraId="5DF7FC36">
            <w:pPr>
              <w:spacing w:line="360" w:lineRule="auto"/>
              <w:jc w:val="center"/>
              <w:rPr>
                <w:rFonts w:hint="eastAsia" w:ascii="宋体" w:hAnsi="宋体" w:cs="宋体"/>
                <w:color w:val="auto"/>
                <w:szCs w:val="21"/>
              </w:rPr>
            </w:pPr>
            <w:r>
              <w:rPr>
                <w:rFonts w:hint="eastAsia" w:ascii="宋体" w:hAnsi="宋体" w:cs="宋体"/>
                <w:color w:val="auto"/>
                <w:szCs w:val="21"/>
              </w:rPr>
              <w:t>分值</w:t>
            </w:r>
          </w:p>
        </w:tc>
        <w:tc>
          <w:tcPr>
            <w:tcW w:w="3115" w:type="dxa"/>
            <w:tcBorders>
              <w:top w:val="single" w:color="auto" w:sz="4" w:space="0"/>
              <w:left w:val="single" w:color="auto" w:sz="4" w:space="0"/>
              <w:bottom w:val="single" w:color="auto" w:sz="4" w:space="0"/>
              <w:right w:val="single" w:color="auto" w:sz="4" w:space="0"/>
            </w:tcBorders>
            <w:vAlign w:val="center"/>
          </w:tcPr>
          <w:p w14:paraId="6AA347B9">
            <w:pPr>
              <w:spacing w:line="360" w:lineRule="auto"/>
              <w:jc w:val="center"/>
              <w:rPr>
                <w:rFonts w:hint="eastAsia" w:ascii="宋体" w:hAnsi="宋体" w:cs="宋体"/>
                <w:color w:val="auto"/>
                <w:szCs w:val="21"/>
              </w:rPr>
            </w:pPr>
            <w:r>
              <w:rPr>
                <w:rFonts w:hint="eastAsia" w:ascii="宋体" w:hAnsi="宋体" w:cs="宋体"/>
                <w:color w:val="auto"/>
                <w:szCs w:val="21"/>
              </w:rPr>
              <w:t>说明</w:t>
            </w:r>
          </w:p>
        </w:tc>
      </w:tr>
      <w:tr w14:paraId="4AF6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exact"/>
        </w:trPr>
        <w:tc>
          <w:tcPr>
            <w:tcW w:w="462" w:type="dxa"/>
            <w:vMerge w:val="restart"/>
            <w:tcBorders>
              <w:top w:val="single" w:color="auto" w:sz="4" w:space="0"/>
              <w:left w:val="single" w:color="auto" w:sz="4" w:space="0"/>
              <w:right w:val="single" w:color="auto" w:sz="4" w:space="0"/>
            </w:tcBorders>
            <w:vAlign w:val="center"/>
          </w:tcPr>
          <w:p w14:paraId="4AF1EFEE">
            <w:pPr>
              <w:spacing w:line="360" w:lineRule="auto"/>
              <w:jc w:val="center"/>
              <w:rPr>
                <w:rFonts w:hint="eastAsia" w:ascii="宋体" w:hAnsi="宋体" w:cs="宋体"/>
                <w:color w:val="auto"/>
                <w:szCs w:val="21"/>
              </w:rPr>
            </w:pPr>
            <w:r>
              <w:rPr>
                <w:rFonts w:hint="eastAsia" w:ascii="宋体" w:hAnsi="宋体" w:cs="宋体"/>
                <w:color w:val="auto"/>
                <w:szCs w:val="21"/>
              </w:rPr>
              <w:t>科</w:t>
            </w:r>
          </w:p>
          <w:p w14:paraId="5235CF9C">
            <w:pPr>
              <w:spacing w:line="360" w:lineRule="auto"/>
              <w:jc w:val="center"/>
              <w:rPr>
                <w:rFonts w:hint="eastAsia" w:ascii="宋体" w:hAnsi="宋体" w:cs="宋体"/>
                <w:color w:val="auto"/>
                <w:szCs w:val="21"/>
              </w:rPr>
            </w:pPr>
            <w:r>
              <w:rPr>
                <w:rFonts w:hint="eastAsia" w:ascii="宋体" w:hAnsi="宋体" w:cs="宋体"/>
                <w:color w:val="auto"/>
                <w:szCs w:val="21"/>
              </w:rPr>
              <w:t>研</w:t>
            </w:r>
          </w:p>
          <w:p w14:paraId="7872DDD8">
            <w:pPr>
              <w:spacing w:line="360" w:lineRule="auto"/>
              <w:jc w:val="center"/>
              <w:rPr>
                <w:rFonts w:hint="eastAsia" w:ascii="宋体" w:hAnsi="宋体" w:cs="宋体"/>
                <w:color w:val="auto"/>
                <w:szCs w:val="21"/>
              </w:rPr>
            </w:pPr>
            <w:r>
              <w:rPr>
                <w:rFonts w:hint="eastAsia" w:ascii="宋体" w:hAnsi="宋体" w:cs="宋体"/>
                <w:color w:val="auto"/>
                <w:szCs w:val="21"/>
              </w:rPr>
              <w:t>成果</w:t>
            </w:r>
          </w:p>
        </w:tc>
        <w:tc>
          <w:tcPr>
            <w:tcW w:w="3923" w:type="dxa"/>
            <w:tcBorders>
              <w:top w:val="single" w:color="auto" w:sz="4" w:space="0"/>
              <w:left w:val="single" w:color="auto" w:sz="4" w:space="0"/>
              <w:bottom w:val="single" w:color="auto" w:sz="4" w:space="0"/>
              <w:right w:val="single" w:color="auto" w:sz="4" w:space="0"/>
            </w:tcBorders>
            <w:vAlign w:val="center"/>
          </w:tcPr>
          <w:p w14:paraId="4A4999E1">
            <w:pPr>
              <w:spacing w:line="360" w:lineRule="auto"/>
              <w:rPr>
                <w:rFonts w:hint="eastAsia" w:ascii="宋体" w:hAnsi="宋体" w:cs="宋体"/>
                <w:color w:val="auto"/>
                <w:szCs w:val="21"/>
              </w:rPr>
            </w:pPr>
            <w:r>
              <w:rPr>
                <w:rFonts w:hint="eastAsia" w:ascii="宋体" w:hAnsi="宋体" w:cs="宋体"/>
                <w:color w:val="auto"/>
                <w:szCs w:val="21"/>
              </w:rPr>
              <w:t>国家级成果奖（自然科学奖、科技进步奖、技术发明奖、哲社成果奖、决策咨询奖）</w:t>
            </w:r>
          </w:p>
        </w:tc>
        <w:tc>
          <w:tcPr>
            <w:tcW w:w="1019" w:type="dxa"/>
            <w:tcBorders>
              <w:top w:val="single" w:color="auto" w:sz="4" w:space="0"/>
              <w:left w:val="single" w:color="auto" w:sz="4" w:space="0"/>
              <w:bottom w:val="single" w:color="auto" w:sz="4" w:space="0"/>
              <w:right w:val="single" w:color="auto" w:sz="4" w:space="0"/>
            </w:tcBorders>
            <w:vAlign w:val="center"/>
          </w:tcPr>
          <w:p w14:paraId="490D67DC">
            <w:pPr>
              <w:spacing w:line="360" w:lineRule="auto"/>
              <w:jc w:val="center"/>
              <w:rPr>
                <w:rFonts w:hint="eastAsia" w:ascii="宋体" w:hAnsi="宋体" w:cs="宋体"/>
                <w:color w:val="auto"/>
                <w:szCs w:val="21"/>
              </w:rPr>
            </w:pPr>
            <w:r>
              <w:rPr>
                <w:rFonts w:hint="eastAsia" w:ascii="宋体" w:hAnsi="宋体" w:cs="宋体"/>
                <w:color w:val="auto"/>
                <w:szCs w:val="21"/>
              </w:rPr>
              <w:t>100</w:t>
            </w:r>
          </w:p>
        </w:tc>
        <w:tc>
          <w:tcPr>
            <w:tcW w:w="3115" w:type="dxa"/>
            <w:vMerge w:val="restart"/>
            <w:tcBorders>
              <w:top w:val="single" w:color="auto" w:sz="4" w:space="0"/>
              <w:left w:val="single" w:color="auto" w:sz="4" w:space="0"/>
              <w:right w:val="single" w:color="auto" w:sz="4" w:space="0"/>
            </w:tcBorders>
            <w:vAlign w:val="center"/>
          </w:tcPr>
          <w:p w14:paraId="5949E3D1">
            <w:pPr>
              <w:spacing w:line="360" w:lineRule="auto"/>
              <w:rPr>
                <w:rFonts w:hint="eastAsia" w:ascii="宋体" w:hAnsi="宋体" w:cs="宋体"/>
                <w:color w:val="auto"/>
                <w:szCs w:val="21"/>
              </w:rPr>
            </w:pPr>
            <w:r>
              <w:rPr>
                <w:rFonts w:hint="eastAsia" w:ascii="宋体" w:hAnsi="宋体" w:cs="宋体"/>
                <w:color w:val="auto"/>
                <w:szCs w:val="21"/>
              </w:rPr>
              <w:t>为主要完成人（前6名），排名第6之后者，排名每退后1位，加分分值减少50%。</w:t>
            </w:r>
          </w:p>
        </w:tc>
      </w:tr>
      <w:tr w14:paraId="3657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462" w:type="dxa"/>
            <w:vMerge w:val="continue"/>
            <w:tcBorders>
              <w:left w:val="single" w:color="auto" w:sz="4" w:space="0"/>
              <w:right w:val="single" w:color="auto" w:sz="4" w:space="0"/>
            </w:tcBorders>
            <w:vAlign w:val="center"/>
          </w:tcPr>
          <w:p w14:paraId="4E62F716">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6DA3FCF0">
            <w:pPr>
              <w:spacing w:line="360" w:lineRule="auto"/>
              <w:rPr>
                <w:rFonts w:hint="eastAsia" w:ascii="宋体" w:hAnsi="宋体" w:cs="宋体"/>
                <w:color w:val="auto"/>
                <w:szCs w:val="21"/>
              </w:rPr>
            </w:pPr>
            <w:r>
              <w:rPr>
                <w:rFonts w:hint="eastAsia" w:ascii="宋体" w:hAnsi="宋体" w:cs="宋体"/>
                <w:color w:val="auto"/>
                <w:szCs w:val="21"/>
              </w:rPr>
              <w:t>部委、省市级成果奖（同上）</w:t>
            </w:r>
          </w:p>
        </w:tc>
        <w:tc>
          <w:tcPr>
            <w:tcW w:w="1019" w:type="dxa"/>
            <w:tcBorders>
              <w:top w:val="single" w:color="auto" w:sz="4" w:space="0"/>
              <w:left w:val="single" w:color="auto" w:sz="4" w:space="0"/>
              <w:bottom w:val="single" w:color="auto" w:sz="4" w:space="0"/>
              <w:right w:val="single" w:color="auto" w:sz="4" w:space="0"/>
            </w:tcBorders>
            <w:vAlign w:val="center"/>
          </w:tcPr>
          <w:p w14:paraId="0E54DA11">
            <w:pPr>
              <w:spacing w:line="360" w:lineRule="auto"/>
              <w:jc w:val="center"/>
              <w:rPr>
                <w:rFonts w:hint="eastAsia" w:ascii="宋体" w:hAnsi="宋体" w:cs="宋体"/>
                <w:color w:val="auto"/>
                <w:szCs w:val="21"/>
              </w:rPr>
            </w:pPr>
            <w:r>
              <w:rPr>
                <w:rFonts w:hint="eastAsia" w:ascii="宋体" w:hAnsi="宋体" w:cs="宋体"/>
                <w:color w:val="auto"/>
                <w:szCs w:val="21"/>
              </w:rPr>
              <w:t>50</w:t>
            </w:r>
          </w:p>
        </w:tc>
        <w:tc>
          <w:tcPr>
            <w:tcW w:w="3115" w:type="dxa"/>
            <w:vMerge w:val="continue"/>
            <w:tcBorders>
              <w:left w:val="single" w:color="auto" w:sz="4" w:space="0"/>
              <w:bottom w:val="single" w:color="auto" w:sz="4" w:space="0"/>
              <w:right w:val="single" w:color="auto" w:sz="4" w:space="0"/>
            </w:tcBorders>
            <w:vAlign w:val="center"/>
          </w:tcPr>
          <w:p w14:paraId="29A4FBC4">
            <w:pPr>
              <w:spacing w:line="360" w:lineRule="auto"/>
              <w:rPr>
                <w:rFonts w:hint="eastAsia" w:ascii="宋体" w:hAnsi="宋体" w:cs="宋体"/>
                <w:color w:val="auto"/>
                <w:szCs w:val="21"/>
              </w:rPr>
            </w:pPr>
          </w:p>
        </w:tc>
      </w:tr>
      <w:tr w14:paraId="59A3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trPr>
        <w:tc>
          <w:tcPr>
            <w:tcW w:w="462" w:type="dxa"/>
            <w:vMerge w:val="continue"/>
            <w:tcBorders>
              <w:left w:val="single" w:color="auto" w:sz="4" w:space="0"/>
              <w:right w:val="single" w:color="auto" w:sz="4" w:space="0"/>
            </w:tcBorders>
            <w:vAlign w:val="center"/>
          </w:tcPr>
          <w:p w14:paraId="6EE51D71">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0FCE0D13">
            <w:pPr>
              <w:spacing w:line="360" w:lineRule="auto"/>
              <w:rPr>
                <w:rFonts w:hint="eastAsia" w:ascii="宋体" w:hAnsi="宋体" w:cs="宋体"/>
                <w:color w:val="auto"/>
                <w:szCs w:val="21"/>
              </w:rPr>
            </w:pPr>
            <w:r>
              <w:rPr>
                <w:rFonts w:hint="eastAsia" w:ascii="宋体" w:hAnsi="宋体" w:cs="宋体"/>
                <w:color w:val="auto"/>
                <w:szCs w:val="21"/>
              </w:rPr>
              <w:t>获得发明专利（有证书）</w:t>
            </w:r>
          </w:p>
        </w:tc>
        <w:tc>
          <w:tcPr>
            <w:tcW w:w="1019" w:type="dxa"/>
            <w:tcBorders>
              <w:top w:val="single" w:color="auto" w:sz="4" w:space="0"/>
              <w:left w:val="single" w:color="auto" w:sz="4" w:space="0"/>
              <w:bottom w:val="single" w:color="auto" w:sz="4" w:space="0"/>
              <w:right w:val="single" w:color="auto" w:sz="4" w:space="0"/>
            </w:tcBorders>
            <w:vAlign w:val="center"/>
          </w:tcPr>
          <w:p w14:paraId="04338F59">
            <w:pPr>
              <w:spacing w:line="360" w:lineRule="auto"/>
              <w:jc w:val="center"/>
              <w:rPr>
                <w:rFonts w:hint="eastAsia" w:ascii="宋体" w:hAnsi="宋体" w:cs="宋体"/>
                <w:color w:val="auto"/>
                <w:szCs w:val="21"/>
              </w:rPr>
            </w:pPr>
            <w:r>
              <w:rPr>
                <w:rFonts w:hint="eastAsia" w:ascii="宋体" w:hAnsi="宋体" w:cs="宋体"/>
                <w:color w:val="auto"/>
                <w:szCs w:val="21"/>
              </w:rPr>
              <w:t>30</w:t>
            </w:r>
          </w:p>
        </w:tc>
        <w:tc>
          <w:tcPr>
            <w:tcW w:w="3115" w:type="dxa"/>
            <w:vMerge w:val="restart"/>
            <w:tcBorders>
              <w:top w:val="single" w:color="auto" w:sz="4" w:space="0"/>
              <w:left w:val="single" w:color="auto" w:sz="4" w:space="0"/>
              <w:right w:val="single" w:color="auto" w:sz="4" w:space="0"/>
            </w:tcBorders>
            <w:vAlign w:val="center"/>
          </w:tcPr>
          <w:p w14:paraId="7958B57E">
            <w:pPr>
              <w:spacing w:line="360" w:lineRule="auto"/>
              <w:rPr>
                <w:rFonts w:hint="eastAsia" w:ascii="宋体" w:hAnsi="宋体" w:cs="宋体"/>
                <w:color w:val="auto"/>
                <w:szCs w:val="21"/>
              </w:rPr>
            </w:pPr>
            <w:r>
              <w:rPr>
                <w:rFonts w:hint="eastAsia" w:ascii="宋体" w:hAnsi="宋体" w:cs="宋体"/>
                <w:color w:val="auto"/>
                <w:szCs w:val="21"/>
              </w:rPr>
              <w:t>为第一完成人或第二完成人（第一完成人为导师）加全分，第二完成人（第一完成人非导师）分值减半，第三、四完成人分值再减半。排名第五完成人以后（含第五）不计分。</w:t>
            </w:r>
          </w:p>
        </w:tc>
      </w:tr>
      <w:tr w14:paraId="7388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trPr>
        <w:tc>
          <w:tcPr>
            <w:tcW w:w="462" w:type="dxa"/>
            <w:vMerge w:val="continue"/>
            <w:tcBorders>
              <w:left w:val="single" w:color="auto" w:sz="4" w:space="0"/>
              <w:right w:val="single" w:color="auto" w:sz="4" w:space="0"/>
            </w:tcBorders>
            <w:vAlign w:val="center"/>
          </w:tcPr>
          <w:p w14:paraId="1CEE5629">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right w:val="single" w:color="auto" w:sz="4" w:space="0"/>
            </w:tcBorders>
            <w:vAlign w:val="center"/>
          </w:tcPr>
          <w:p w14:paraId="4184D60F">
            <w:pPr>
              <w:spacing w:line="360" w:lineRule="auto"/>
              <w:rPr>
                <w:rFonts w:hint="eastAsia" w:ascii="宋体" w:hAnsi="宋体" w:cs="宋体"/>
                <w:color w:val="auto"/>
                <w:spacing w:val="-10"/>
                <w:szCs w:val="21"/>
              </w:rPr>
            </w:pPr>
            <w:r>
              <w:rPr>
                <w:rFonts w:hint="eastAsia" w:ascii="宋体" w:hAnsi="宋体" w:cs="宋体"/>
                <w:color w:val="auto"/>
                <w:spacing w:val="-10"/>
                <w:szCs w:val="21"/>
              </w:rPr>
              <w:t>获得实用新型专利、外观设计专利或软件著作权（有证书）</w:t>
            </w:r>
          </w:p>
        </w:tc>
        <w:tc>
          <w:tcPr>
            <w:tcW w:w="1019" w:type="dxa"/>
            <w:tcBorders>
              <w:top w:val="single" w:color="auto" w:sz="4" w:space="0"/>
              <w:left w:val="single" w:color="auto" w:sz="4" w:space="0"/>
              <w:right w:val="single" w:color="auto" w:sz="4" w:space="0"/>
            </w:tcBorders>
            <w:vAlign w:val="center"/>
          </w:tcPr>
          <w:p w14:paraId="20FD5529">
            <w:pPr>
              <w:spacing w:line="360" w:lineRule="auto"/>
              <w:jc w:val="center"/>
              <w:rPr>
                <w:rFonts w:hint="eastAsia" w:ascii="宋体" w:hAnsi="宋体" w:cs="宋体"/>
                <w:color w:val="auto"/>
                <w:szCs w:val="21"/>
              </w:rPr>
            </w:pPr>
            <w:r>
              <w:rPr>
                <w:rFonts w:hint="eastAsia" w:ascii="宋体" w:hAnsi="宋体" w:cs="宋体"/>
                <w:color w:val="auto"/>
                <w:szCs w:val="21"/>
              </w:rPr>
              <w:t>3</w:t>
            </w:r>
          </w:p>
        </w:tc>
        <w:tc>
          <w:tcPr>
            <w:tcW w:w="3115" w:type="dxa"/>
            <w:vMerge w:val="continue"/>
            <w:tcBorders>
              <w:left w:val="single" w:color="auto" w:sz="4" w:space="0"/>
              <w:right w:val="single" w:color="auto" w:sz="4" w:space="0"/>
            </w:tcBorders>
            <w:vAlign w:val="center"/>
          </w:tcPr>
          <w:p w14:paraId="747781FE">
            <w:pPr>
              <w:spacing w:line="360" w:lineRule="auto"/>
              <w:ind w:left="-106" w:hanging="1"/>
              <w:rPr>
                <w:rFonts w:hint="eastAsia" w:ascii="宋体" w:hAnsi="宋体" w:cs="宋体"/>
                <w:color w:val="auto"/>
                <w:szCs w:val="21"/>
              </w:rPr>
            </w:pPr>
          </w:p>
        </w:tc>
      </w:tr>
      <w:tr w14:paraId="2575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6" w:hRule="exact"/>
        </w:trPr>
        <w:tc>
          <w:tcPr>
            <w:tcW w:w="462" w:type="dxa"/>
            <w:vMerge w:val="restart"/>
            <w:tcBorders>
              <w:top w:val="single" w:color="auto" w:sz="4" w:space="0"/>
              <w:left w:val="single" w:color="auto" w:sz="4" w:space="0"/>
              <w:right w:val="single" w:color="auto" w:sz="4" w:space="0"/>
            </w:tcBorders>
            <w:vAlign w:val="center"/>
          </w:tcPr>
          <w:p w14:paraId="39AE85A0">
            <w:pPr>
              <w:spacing w:line="360" w:lineRule="auto"/>
              <w:jc w:val="center"/>
              <w:rPr>
                <w:rFonts w:hint="eastAsia" w:ascii="宋体" w:hAnsi="宋体" w:cs="宋体"/>
                <w:color w:val="auto"/>
                <w:szCs w:val="21"/>
              </w:rPr>
            </w:pPr>
            <w:r>
              <w:rPr>
                <w:rFonts w:hint="eastAsia" w:ascii="宋体" w:hAnsi="宋体" w:cs="宋体"/>
                <w:color w:val="auto"/>
                <w:szCs w:val="21"/>
              </w:rPr>
              <w:t>学</w:t>
            </w:r>
          </w:p>
          <w:p w14:paraId="6D58342D">
            <w:pPr>
              <w:spacing w:line="360" w:lineRule="auto"/>
              <w:jc w:val="center"/>
              <w:rPr>
                <w:rFonts w:hint="eastAsia" w:ascii="宋体" w:hAnsi="宋体" w:cs="宋体"/>
                <w:color w:val="auto"/>
                <w:szCs w:val="21"/>
              </w:rPr>
            </w:pPr>
            <w:r>
              <w:rPr>
                <w:rFonts w:hint="eastAsia" w:ascii="宋体" w:hAnsi="宋体" w:cs="宋体"/>
                <w:color w:val="auto"/>
                <w:szCs w:val="21"/>
              </w:rPr>
              <w:t>术</w:t>
            </w:r>
          </w:p>
          <w:p w14:paraId="45EB7BD1">
            <w:pPr>
              <w:spacing w:line="360" w:lineRule="auto"/>
              <w:jc w:val="center"/>
              <w:rPr>
                <w:rFonts w:hint="eastAsia" w:ascii="宋体" w:hAnsi="宋体" w:cs="宋体"/>
                <w:color w:val="auto"/>
                <w:szCs w:val="21"/>
              </w:rPr>
            </w:pPr>
            <w:r>
              <w:rPr>
                <w:rFonts w:hint="eastAsia" w:ascii="宋体" w:hAnsi="宋体" w:cs="宋体"/>
                <w:color w:val="auto"/>
                <w:szCs w:val="21"/>
              </w:rPr>
              <w:t>交</w:t>
            </w:r>
          </w:p>
          <w:p w14:paraId="2F593634">
            <w:pPr>
              <w:spacing w:line="360" w:lineRule="auto"/>
              <w:jc w:val="center"/>
              <w:rPr>
                <w:rFonts w:hint="eastAsia" w:ascii="宋体" w:hAnsi="宋体" w:cs="宋体"/>
                <w:color w:val="auto"/>
                <w:szCs w:val="21"/>
              </w:rPr>
            </w:pPr>
            <w:r>
              <w:rPr>
                <w:rFonts w:hint="eastAsia" w:ascii="宋体" w:hAnsi="宋体" w:cs="宋体"/>
                <w:color w:val="auto"/>
                <w:szCs w:val="21"/>
              </w:rPr>
              <w:t>流</w:t>
            </w:r>
          </w:p>
        </w:tc>
        <w:tc>
          <w:tcPr>
            <w:tcW w:w="3923" w:type="dxa"/>
            <w:tcBorders>
              <w:top w:val="single" w:color="auto" w:sz="4" w:space="0"/>
              <w:left w:val="single" w:color="auto" w:sz="4" w:space="0"/>
              <w:bottom w:val="single" w:color="auto" w:sz="4" w:space="0"/>
              <w:right w:val="single" w:color="auto" w:sz="4" w:space="0"/>
            </w:tcBorders>
            <w:vAlign w:val="center"/>
          </w:tcPr>
          <w:p w14:paraId="2C76E234">
            <w:pPr>
              <w:spacing w:line="360" w:lineRule="auto"/>
              <w:rPr>
                <w:rFonts w:hint="eastAsia" w:ascii="宋体" w:hAnsi="宋体" w:cs="宋体"/>
                <w:color w:val="auto"/>
                <w:szCs w:val="21"/>
              </w:rPr>
            </w:pPr>
            <w:r>
              <w:rPr>
                <w:rFonts w:hint="eastAsia" w:ascii="宋体" w:hAnsi="宋体" w:cs="宋体"/>
                <w:color w:val="auto"/>
                <w:szCs w:val="21"/>
              </w:rPr>
              <w:t>赴境外参加学术会议</w:t>
            </w:r>
          </w:p>
        </w:tc>
        <w:tc>
          <w:tcPr>
            <w:tcW w:w="1019" w:type="dxa"/>
            <w:tcBorders>
              <w:top w:val="single" w:color="auto" w:sz="4" w:space="0"/>
              <w:left w:val="single" w:color="auto" w:sz="4" w:space="0"/>
              <w:bottom w:val="single" w:color="auto" w:sz="4" w:space="0"/>
              <w:right w:val="single" w:color="auto" w:sz="4" w:space="0"/>
            </w:tcBorders>
            <w:vAlign w:val="center"/>
          </w:tcPr>
          <w:p w14:paraId="12068F91">
            <w:pPr>
              <w:spacing w:line="360" w:lineRule="auto"/>
              <w:jc w:val="center"/>
              <w:rPr>
                <w:rFonts w:hint="eastAsia" w:ascii="宋体" w:hAnsi="宋体" w:cs="宋体"/>
                <w:color w:val="auto"/>
                <w:szCs w:val="21"/>
              </w:rPr>
            </w:pPr>
            <w:r>
              <w:rPr>
                <w:rFonts w:hint="eastAsia" w:ascii="宋体" w:hAnsi="宋体" w:cs="宋体"/>
                <w:color w:val="auto"/>
                <w:szCs w:val="21"/>
              </w:rPr>
              <w:t>20/次</w:t>
            </w:r>
          </w:p>
        </w:tc>
        <w:tc>
          <w:tcPr>
            <w:tcW w:w="3115" w:type="dxa"/>
            <w:vMerge w:val="restart"/>
            <w:tcBorders>
              <w:top w:val="single" w:color="auto" w:sz="4" w:space="0"/>
              <w:left w:val="single" w:color="auto" w:sz="4" w:space="0"/>
              <w:right w:val="single" w:color="auto" w:sz="4" w:space="0"/>
            </w:tcBorders>
            <w:vAlign w:val="center"/>
          </w:tcPr>
          <w:p w14:paraId="73A379D2">
            <w:pPr>
              <w:spacing w:line="360" w:lineRule="auto"/>
              <w:jc w:val="left"/>
              <w:rPr>
                <w:rFonts w:hint="eastAsia" w:ascii="宋体" w:hAnsi="宋体" w:cs="宋体"/>
                <w:color w:val="auto"/>
                <w:szCs w:val="21"/>
              </w:rPr>
            </w:pPr>
            <w:r>
              <w:rPr>
                <w:rFonts w:hint="eastAsia" w:ascii="宋体" w:hAnsi="宋体" w:cs="宋体"/>
                <w:color w:val="auto"/>
                <w:szCs w:val="21"/>
              </w:rPr>
              <w:t>1. 作为正式代表参加，并在大会上宣读论文加全分；仅为论文或摘要收录，分值减半；仅参加不加分；</w:t>
            </w:r>
          </w:p>
          <w:p w14:paraId="61C5AE0F">
            <w:pPr>
              <w:spacing w:line="360" w:lineRule="auto"/>
              <w:rPr>
                <w:rFonts w:hint="eastAsia" w:ascii="宋体" w:hAnsi="宋体" w:cs="宋体"/>
                <w:color w:val="auto"/>
                <w:szCs w:val="21"/>
              </w:rPr>
            </w:pPr>
            <w:r>
              <w:rPr>
                <w:rFonts w:hint="eastAsia" w:ascii="宋体" w:hAnsi="宋体" w:cs="宋体"/>
                <w:color w:val="auto"/>
                <w:szCs w:val="21"/>
              </w:rPr>
              <w:t>2. 论文获奖再加5分；在全国性学术学会的年会上汇报再加5分。</w:t>
            </w:r>
          </w:p>
        </w:tc>
      </w:tr>
      <w:tr w14:paraId="6B6F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exact"/>
        </w:trPr>
        <w:tc>
          <w:tcPr>
            <w:tcW w:w="462" w:type="dxa"/>
            <w:vMerge w:val="continue"/>
            <w:tcBorders>
              <w:left w:val="single" w:color="auto" w:sz="4" w:space="0"/>
              <w:right w:val="single" w:color="auto" w:sz="4" w:space="0"/>
            </w:tcBorders>
            <w:vAlign w:val="center"/>
          </w:tcPr>
          <w:p w14:paraId="229950A2">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30D95592">
            <w:pPr>
              <w:spacing w:line="360" w:lineRule="auto"/>
              <w:rPr>
                <w:rFonts w:hint="eastAsia" w:ascii="宋体" w:hAnsi="宋体" w:cs="宋体"/>
                <w:color w:val="auto"/>
                <w:szCs w:val="21"/>
              </w:rPr>
            </w:pPr>
            <w:r>
              <w:rPr>
                <w:rFonts w:hint="eastAsia" w:ascii="宋体" w:hAnsi="宋体" w:cs="宋体"/>
                <w:color w:val="auto"/>
                <w:szCs w:val="21"/>
              </w:rPr>
              <w:t>参加国内学术会议（含境内召开的国际性学术会议）</w:t>
            </w:r>
          </w:p>
        </w:tc>
        <w:tc>
          <w:tcPr>
            <w:tcW w:w="1019" w:type="dxa"/>
            <w:tcBorders>
              <w:top w:val="single" w:color="auto" w:sz="4" w:space="0"/>
              <w:left w:val="single" w:color="auto" w:sz="4" w:space="0"/>
              <w:bottom w:val="single" w:color="auto" w:sz="4" w:space="0"/>
              <w:right w:val="single" w:color="auto" w:sz="4" w:space="0"/>
            </w:tcBorders>
            <w:vAlign w:val="center"/>
          </w:tcPr>
          <w:p w14:paraId="3CFC01F9">
            <w:pPr>
              <w:spacing w:line="360" w:lineRule="auto"/>
              <w:jc w:val="center"/>
              <w:rPr>
                <w:rFonts w:hint="eastAsia" w:ascii="宋体" w:hAnsi="宋体" w:cs="宋体"/>
                <w:color w:val="auto"/>
                <w:szCs w:val="21"/>
              </w:rPr>
            </w:pPr>
            <w:r>
              <w:rPr>
                <w:rFonts w:hint="eastAsia" w:ascii="宋体" w:hAnsi="宋体" w:cs="宋体"/>
                <w:color w:val="auto"/>
                <w:szCs w:val="21"/>
              </w:rPr>
              <w:t>5/次</w:t>
            </w:r>
          </w:p>
        </w:tc>
        <w:tc>
          <w:tcPr>
            <w:tcW w:w="3115" w:type="dxa"/>
            <w:vMerge w:val="continue"/>
            <w:tcBorders>
              <w:left w:val="single" w:color="auto" w:sz="4" w:space="0"/>
              <w:bottom w:val="single" w:color="auto" w:sz="4" w:space="0"/>
              <w:right w:val="single" w:color="auto" w:sz="4" w:space="0"/>
            </w:tcBorders>
            <w:vAlign w:val="center"/>
          </w:tcPr>
          <w:p w14:paraId="0B2D5842">
            <w:pPr>
              <w:spacing w:line="360" w:lineRule="auto"/>
              <w:rPr>
                <w:rFonts w:hint="eastAsia" w:ascii="宋体" w:hAnsi="宋体" w:cs="宋体"/>
                <w:color w:val="auto"/>
                <w:szCs w:val="21"/>
              </w:rPr>
            </w:pPr>
          </w:p>
        </w:tc>
      </w:tr>
      <w:tr w14:paraId="6B46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0843E090">
            <w:pPr>
              <w:spacing w:line="360" w:lineRule="auto"/>
              <w:jc w:val="center"/>
              <w:rPr>
                <w:rFonts w:hint="eastAsia" w:ascii="宋体" w:hAnsi="宋体" w:cs="宋体"/>
                <w:color w:val="auto"/>
                <w:szCs w:val="21"/>
              </w:rPr>
            </w:pPr>
          </w:p>
        </w:tc>
        <w:tc>
          <w:tcPr>
            <w:tcW w:w="3923" w:type="dxa"/>
            <w:vMerge w:val="restart"/>
            <w:tcBorders>
              <w:top w:val="single" w:color="auto" w:sz="4" w:space="0"/>
              <w:left w:val="single" w:color="auto" w:sz="4" w:space="0"/>
              <w:right w:val="single" w:color="auto" w:sz="4" w:space="0"/>
            </w:tcBorders>
            <w:vAlign w:val="center"/>
          </w:tcPr>
          <w:p w14:paraId="5FD960DA">
            <w:pPr>
              <w:spacing w:line="360" w:lineRule="auto"/>
              <w:rPr>
                <w:rFonts w:hint="eastAsia" w:ascii="宋体" w:hAnsi="宋体" w:cs="宋体"/>
                <w:color w:val="auto"/>
                <w:szCs w:val="21"/>
              </w:rPr>
            </w:pPr>
            <w:r>
              <w:rPr>
                <w:rFonts w:hint="eastAsia" w:ascii="宋体" w:hAnsi="宋体" w:cs="宋体"/>
                <w:color w:val="auto"/>
                <w:szCs w:val="21"/>
              </w:rPr>
              <w:t>上海市（或其他省市级）研究生学术论坛</w:t>
            </w:r>
          </w:p>
        </w:tc>
        <w:tc>
          <w:tcPr>
            <w:tcW w:w="1019" w:type="dxa"/>
            <w:tcBorders>
              <w:top w:val="single" w:color="auto" w:sz="4" w:space="0"/>
              <w:left w:val="single" w:color="auto" w:sz="4" w:space="0"/>
              <w:bottom w:val="single" w:color="auto" w:sz="4" w:space="0"/>
              <w:right w:val="single" w:color="auto" w:sz="4" w:space="0"/>
            </w:tcBorders>
            <w:vAlign w:val="center"/>
          </w:tcPr>
          <w:p w14:paraId="73E61998">
            <w:pPr>
              <w:spacing w:line="360" w:lineRule="auto"/>
              <w:jc w:val="center"/>
              <w:rPr>
                <w:rFonts w:hint="eastAsia" w:ascii="宋体" w:hAnsi="宋体" w:cs="宋体"/>
                <w:color w:val="auto"/>
                <w:szCs w:val="21"/>
              </w:rPr>
            </w:pPr>
            <w:r>
              <w:rPr>
                <w:rFonts w:hint="eastAsia" w:ascii="宋体" w:hAnsi="宋体" w:cs="宋体"/>
                <w:color w:val="auto"/>
                <w:szCs w:val="21"/>
              </w:rPr>
              <w:t>15</w:t>
            </w:r>
          </w:p>
        </w:tc>
        <w:tc>
          <w:tcPr>
            <w:tcW w:w="3115" w:type="dxa"/>
            <w:tcBorders>
              <w:left w:val="single" w:color="auto" w:sz="4" w:space="0"/>
              <w:bottom w:val="single" w:color="auto" w:sz="4" w:space="0"/>
              <w:right w:val="single" w:color="auto" w:sz="4" w:space="0"/>
            </w:tcBorders>
            <w:vAlign w:val="center"/>
          </w:tcPr>
          <w:p w14:paraId="72108E4A">
            <w:pPr>
              <w:spacing w:line="360" w:lineRule="auto"/>
              <w:jc w:val="left"/>
              <w:rPr>
                <w:rFonts w:hint="eastAsia" w:ascii="宋体" w:hAnsi="宋体" w:cs="宋体"/>
                <w:color w:val="auto"/>
                <w:szCs w:val="21"/>
              </w:rPr>
            </w:pPr>
            <w:r>
              <w:rPr>
                <w:rFonts w:hint="eastAsia" w:ascii="宋体" w:hAnsi="宋体" w:cs="宋体"/>
                <w:color w:val="auto"/>
                <w:szCs w:val="21"/>
              </w:rPr>
              <w:t>特等奖</w:t>
            </w:r>
          </w:p>
        </w:tc>
      </w:tr>
      <w:tr w14:paraId="0076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3E684421">
            <w:pPr>
              <w:spacing w:line="360" w:lineRule="auto"/>
              <w:jc w:val="center"/>
              <w:rPr>
                <w:rFonts w:hint="eastAsia" w:ascii="宋体" w:hAnsi="宋体" w:cs="宋体"/>
                <w:color w:val="auto"/>
                <w:szCs w:val="21"/>
              </w:rPr>
            </w:pPr>
          </w:p>
        </w:tc>
        <w:tc>
          <w:tcPr>
            <w:tcW w:w="3923" w:type="dxa"/>
            <w:vMerge w:val="continue"/>
            <w:tcBorders>
              <w:left w:val="single" w:color="auto" w:sz="4" w:space="0"/>
              <w:right w:val="single" w:color="auto" w:sz="4" w:space="0"/>
            </w:tcBorders>
            <w:vAlign w:val="center"/>
          </w:tcPr>
          <w:p w14:paraId="40E103E4">
            <w:pPr>
              <w:spacing w:line="360" w:lineRule="auto"/>
              <w:rPr>
                <w:rFonts w:hint="eastAsia" w:ascii="宋体" w:hAnsi="宋体" w:cs="宋体"/>
                <w:color w:val="auto"/>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3342591D">
            <w:pPr>
              <w:tabs>
                <w:tab w:val="center" w:pos="1449"/>
              </w:tabs>
              <w:spacing w:line="360" w:lineRule="auto"/>
              <w:jc w:val="center"/>
              <w:rPr>
                <w:rFonts w:hint="eastAsia" w:ascii="宋体" w:hAnsi="宋体" w:cs="宋体"/>
                <w:color w:val="auto"/>
                <w:szCs w:val="21"/>
              </w:rPr>
            </w:pPr>
            <w:r>
              <w:rPr>
                <w:rFonts w:hint="eastAsia" w:ascii="宋体" w:hAnsi="宋体" w:cs="宋体"/>
                <w:color w:val="auto"/>
                <w:szCs w:val="21"/>
              </w:rPr>
              <w:t>12</w:t>
            </w:r>
          </w:p>
        </w:tc>
        <w:tc>
          <w:tcPr>
            <w:tcW w:w="3115" w:type="dxa"/>
            <w:tcBorders>
              <w:left w:val="single" w:color="auto" w:sz="4" w:space="0"/>
              <w:bottom w:val="single" w:color="auto" w:sz="4" w:space="0"/>
              <w:right w:val="single" w:color="auto" w:sz="4" w:space="0"/>
            </w:tcBorders>
            <w:vAlign w:val="center"/>
          </w:tcPr>
          <w:p w14:paraId="7F941B53">
            <w:pPr>
              <w:tabs>
                <w:tab w:val="center" w:pos="1449"/>
              </w:tabs>
              <w:spacing w:line="360" w:lineRule="auto"/>
              <w:jc w:val="left"/>
              <w:rPr>
                <w:rFonts w:hint="eastAsia" w:ascii="宋体" w:hAnsi="宋体" w:cs="宋体"/>
                <w:color w:val="auto"/>
                <w:szCs w:val="21"/>
              </w:rPr>
            </w:pPr>
            <w:r>
              <w:rPr>
                <w:rFonts w:hint="eastAsia" w:ascii="宋体" w:hAnsi="宋体" w:cs="宋体"/>
                <w:color w:val="auto"/>
                <w:szCs w:val="21"/>
              </w:rPr>
              <w:t>一等奖</w:t>
            </w:r>
          </w:p>
        </w:tc>
      </w:tr>
      <w:tr w14:paraId="6FD6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69A5F76C">
            <w:pPr>
              <w:spacing w:line="360" w:lineRule="auto"/>
              <w:jc w:val="center"/>
              <w:rPr>
                <w:rFonts w:hint="eastAsia" w:ascii="宋体" w:hAnsi="宋体" w:cs="宋体"/>
                <w:color w:val="auto"/>
                <w:szCs w:val="21"/>
              </w:rPr>
            </w:pPr>
          </w:p>
        </w:tc>
        <w:tc>
          <w:tcPr>
            <w:tcW w:w="3923" w:type="dxa"/>
            <w:vMerge w:val="continue"/>
            <w:tcBorders>
              <w:left w:val="single" w:color="auto" w:sz="4" w:space="0"/>
              <w:right w:val="single" w:color="auto" w:sz="4" w:space="0"/>
            </w:tcBorders>
            <w:vAlign w:val="center"/>
          </w:tcPr>
          <w:p w14:paraId="0E6394A5">
            <w:pPr>
              <w:spacing w:line="360" w:lineRule="auto"/>
              <w:rPr>
                <w:rFonts w:hint="eastAsia" w:ascii="宋体" w:hAnsi="宋体" w:cs="宋体"/>
                <w:color w:val="auto"/>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241C1C03">
            <w:pPr>
              <w:tabs>
                <w:tab w:val="center" w:pos="1449"/>
              </w:tabs>
              <w:spacing w:line="360" w:lineRule="auto"/>
              <w:jc w:val="center"/>
              <w:rPr>
                <w:rFonts w:hint="eastAsia" w:ascii="宋体" w:hAnsi="宋体" w:cs="宋体"/>
                <w:color w:val="auto"/>
                <w:szCs w:val="21"/>
              </w:rPr>
            </w:pPr>
            <w:r>
              <w:rPr>
                <w:rFonts w:hint="eastAsia" w:ascii="宋体" w:hAnsi="宋体" w:cs="宋体"/>
                <w:color w:val="auto"/>
                <w:szCs w:val="21"/>
              </w:rPr>
              <w:t>10</w:t>
            </w:r>
          </w:p>
        </w:tc>
        <w:tc>
          <w:tcPr>
            <w:tcW w:w="3115" w:type="dxa"/>
            <w:tcBorders>
              <w:left w:val="single" w:color="auto" w:sz="4" w:space="0"/>
              <w:bottom w:val="single" w:color="auto" w:sz="4" w:space="0"/>
              <w:right w:val="single" w:color="auto" w:sz="4" w:space="0"/>
            </w:tcBorders>
            <w:vAlign w:val="center"/>
          </w:tcPr>
          <w:p w14:paraId="5C5CD99B">
            <w:pPr>
              <w:tabs>
                <w:tab w:val="center" w:pos="1449"/>
              </w:tabs>
              <w:spacing w:line="360" w:lineRule="auto"/>
              <w:jc w:val="left"/>
              <w:rPr>
                <w:rFonts w:hint="eastAsia" w:ascii="宋体" w:hAnsi="宋体" w:cs="宋体"/>
                <w:color w:val="auto"/>
                <w:szCs w:val="21"/>
              </w:rPr>
            </w:pPr>
            <w:r>
              <w:rPr>
                <w:rFonts w:hint="eastAsia" w:ascii="宋体" w:hAnsi="宋体" w:cs="宋体"/>
                <w:color w:val="auto"/>
                <w:szCs w:val="21"/>
              </w:rPr>
              <w:t>二等奖</w:t>
            </w:r>
          </w:p>
        </w:tc>
      </w:tr>
      <w:tr w14:paraId="5C7B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7848D85D">
            <w:pPr>
              <w:spacing w:line="360" w:lineRule="auto"/>
              <w:jc w:val="center"/>
              <w:rPr>
                <w:rFonts w:hint="eastAsia" w:ascii="宋体" w:hAnsi="宋体" w:cs="宋体"/>
                <w:color w:val="auto"/>
                <w:szCs w:val="21"/>
              </w:rPr>
            </w:pPr>
          </w:p>
        </w:tc>
        <w:tc>
          <w:tcPr>
            <w:tcW w:w="3923" w:type="dxa"/>
            <w:vMerge w:val="continue"/>
            <w:tcBorders>
              <w:left w:val="single" w:color="auto" w:sz="4" w:space="0"/>
              <w:right w:val="single" w:color="auto" w:sz="4" w:space="0"/>
            </w:tcBorders>
            <w:vAlign w:val="center"/>
          </w:tcPr>
          <w:p w14:paraId="7EFA0F19">
            <w:pPr>
              <w:spacing w:line="360" w:lineRule="auto"/>
              <w:rPr>
                <w:rFonts w:hint="eastAsia" w:ascii="宋体" w:hAnsi="宋体" w:cs="宋体"/>
                <w:color w:val="auto"/>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69ECBEC1">
            <w:pPr>
              <w:tabs>
                <w:tab w:val="center" w:pos="1449"/>
              </w:tabs>
              <w:spacing w:line="360" w:lineRule="auto"/>
              <w:jc w:val="center"/>
              <w:rPr>
                <w:rFonts w:hint="eastAsia" w:ascii="宋体" w:hAnsi="宋体" w:cs="宋体"/>
                <w:color w:val="auto"/>
                <w:szCs w:val="21"/>
              </w:rPr>
            </w:pPr>
            <w:r>
              <w:rPr>
                <w:rFonts w:hint="eastAsia" w:ascii="宋体" w:hAnsi="宋体" w:cs="宋体"/>
                <w:color w:val="auto"/>
                <w:szCs w:val="21"/>
              </w:rPr>
              <w:t>9</w:t>
            </w:r>
          </w:p>
        </w:tc>
        <w:tc>
          <w:tcPr>
            <w:tcW w:w="3115" w:type="dxa"/>
            <w:tcBorders>
              <w:left w:val="single" w:color="auto" w:sz="4" w:space="0"/>
              <w:bottom w:val="single" w:color="auto" w:sz="4" w:space="0"/>
              <w:right w:val="single" w:color="auto" w:sz="4" w:space="0"/>
            </w:tcBorders>
            <w:vAlign w:val="center"/>
          </w:tcPr>
          <w:p w14:paraId="60FEEC29">
            <w:pPr>
              <w:tabs>
                <w:tab w:val="center" w:pos="1449"/>
              </w:tabs>
              <w:spacing w:line="360" w:lineRule="auto"/>
              <w:jc w:val="left"/>
              <w:rPr>
                <w:rFonts w:hint="eastAsia" w:ascii="宋体" w:hAnsi="宋体" w:cs="宋体"/>
                <w:color w:val="auto"/>
                <w:szCs w:val="21"/>
              </w:rPr>
            </w:pPr>
            <w:r>
              <w:rPr>
                <w:rFonts w:hint="eastAsia" w:ascii="宋体" w:hAnsi="宋体" w:cs="宋体"/>
                <w:color w:val="auto"/>
                <w:szCs w:val="21"/>
              </w:rPr>
              <w:t>三等奖</w:t>
            </w:r>
          </w:p>
        </w:tc>
      </w:tr>
      <w:tr w14:paraId="1EA5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1DEAF920">
            <w:pPr>
              <w:spacing w:line="360" w:lineRule="auto"/>
              <w:jc w:val="center"/>
              <w:rPr>
                <w:rFonts w:hint="eastAsia" w:ascii="宋体" w:hAnsi="宋体" w:cs="宋体"/>
                <w:color w:val="auto"/>
                <w:szCs w:val="21"/>
              </w:rPr>
            </w:pPr>
          </w:p>
        </w:tc>
        <w:tc>
          <w:tcPr>
            <w:tcW w:w="3923" w:type="dxa"/>
            <w:vMerge w:val="continue"/>
            <w:tcBorders>
              <w:left w:val="single" w:color="auto" w:sz="4" w:space="0"/>
              <w:right w:val="single" w:color="auto" w:sz="4" w:space="0"/>
            </w:tcBorders>
            <w:vAlign w:val="center"/>
          </w:tcPr>
          <w:p w14:paraId="4346F207">
            <w:pPr>
              <w:spacing w:line="360" w:lineRule="auto"/>
              <w:rPr>
                <w:rFonts w:hint="eastAsia" w:ascii="宋体" w:hAnsi="宋体" w:cs="宋体"/>
                <w:color w:val="auto"/>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22E6DB11">
            <w:pPr>
              <w:spacing w:line="360" w:lineRule="auto"/>
              <w:jc w:val="center"/>
              <w:rPr>
                <w:rFonts w:hint="eastAsia" w:ascii="宋体" w:hAnsi="宋体" w:cs="宋体"/>
                <w:color w:val="auto"/>
                <w:szCs w:val="21"/>
              </w:rPr>
            </w:pPr>
            <w:r>
              <w:rPr>
                <w:rFonts w:hint="eastAsia" w:ascii="宋体" w:hAnsi="宋体" w:cs="宋体"/>
                <w:color w:val="auto"/>
                <w:szCs w:val="21"/>
              </w:rPr>
              <w:t>8</w:t>
            </w:r>
          </w:p>
          <w:p w14:paraId="3DCDD4EA">
            <w:pPr>
              <w:spacing w:line="360" w:lineRule="auto"/>
              <w:jc w:val="center"/>
              <w:rPr>
                <w:rFonts w:hint="eastAsia" w:ascii="宋体" w:hAnsi="宋体" w:cs="宋体"/>
                <w:color w:val="auto"/>
                <w:szCs w:val="21"/>
              </w:rPr>
            </w:pPr>
          </w:p>
        </w:tc>
        <w:tc>
          <w:tcPr>
            <w:tcW w:w="3115" w:type="dxa"/>
            <w:tcBorders>
              <w:left w:val="single" w:color="auto" w:sz="4" w:space="0"/>
              <w:bottom w:val="single" w:color="auto" w:sz="4" w:space="0"/>
              <w:right w:val="single" w:color="auto" w:sz="4" w:space="0"/>
            </w:tcBorders>
            <w:vAlign w:val="center"/>
          </w:tcPr>
          <w:p w14:paraId="07FBCD87">
            <w:pPr>
              <w:spacing w:line="360" w:lineRule="auto"/>
              <w:jc w:val="left"/>
              <w:rPr>
                <w:rFonts w:hint="eastAsia" w:ascii="宋体" w:hAnsi="宋体" w:cs="宋体"/>
                <w:color w:val="auto"/>
                <w:szCs w:val="21"/>
              </w:rPr>
            </w:pPr>
            <w:r>
              <w:rPr>
                <w:rFonts w:hint="eastAsia" w:ascii="宋体" w:hAnsi="宋体" w:cs="宋体"/>
                <w:color w:val="auto"/>
                <w:szCs w:val="21"/>
              </w:rPr>
              <w:t>优胜奖</w:t>
            </w:r>
          </w:p>
          <w:p w14:paraId="6282A008">
            <w:pPr>
              <w:spacing w:line="360" w:lineRule="auto"/>
              <w:jc w:val="left"/>
              <w:rPr>
                <w:rFonts w:hint="eastAsia" w:ascii="宋体" w:hAnsi="宋体" w:cs="宋体"/>
                <w:color w:val="auto"/>
                <w:szCs w:val="21"/>
              </w:rPr>
            </w:pPr>
          </w:p>
          <w:p w14:paraId="31A4939C">
            <w:pPr>
              <w:spacing w:line="360" w:lineRule="auto"/>
              <w:jc w:val="left"/>
              <w:rPr>
                <w:rFonts w:hint="eastAsia" w:ascii="宋体" w:hAnsi="宋体" w:cs="宋体"/>
                <w:color w:val="auto"/>
                <w:szCs w:val="21"/>
              </w:rPr>
            </w:pPr>
          </w:p>
        </w:tc>
      </w:tr>
      <w:tr w14:paraId="3FC9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342CF555">
            <w:pPr>
              <w:spacing w:line="360" w:lineRule="auto"/>
              <w:jc w:val="center"/>
              <w:rPr>
                <w:rFonts w:hint="eastAsia" w:ascii="宋体" w:hAnsi="宋体" w:cs="宋体"/>
                <w:color w:val="auto"/>
                <w:szCs w:val="21"/>
              </w:rPr>
            </w:pPr>
          </w:p>
        </w:tc>
        <w:tc>
          <w:tcPr>
            <w:tcW w:w="3923" w:type="dxa"/>
            <w:vMerge w:val="restart"/>
            <w:tcBorders>
              <w:top w:val="single" w:color="auto" w:sz="4" w:space="0"/>
              <w:left w:val="single" w:color="auto" w:sz="4" w:space="0"/>
              <w:right w:val="single" w:color="auto" w:sz="4" w:space="0"/>
            </w:tcBorders>
            <w:vAlign w:val="center"/>
          </w:tcPr>
          <w:p w14:paraId="310D9E1E">
            <w:pPr>
              <w:spacing w:line="360" w:lineRule="auto"/>
              <w:rPr>
                <w:rFonts w:hint="eastAsia" w:ascii="宋体" w:hAnsi="宋体" w:cs="宋体"/>
                <w:color w:val="auto"/>
                <w:szCs w:val="21"/>
              </w:rPr>
            </w:pPr>
            <w:r>
              <w:rPr>
                <w:rFonts w:hint="eastAsia" w:ascii="宋体" w:hAnsi="宋体" w:cs="宋体"/>
                <w:color w:val="auto"/>
                <w:szCs w:val="21"/>
              </w:rPr>
              <w:t>校（联合培养单位）研究生论文报告会</w:t>
            </w:r>
          </w:p>
        </w:tc>
        <w:tc>
          <w:tcPr>
            <w:tcW w:w="1019" w:type="dxa"/>
            <w:tcBorders>
              <w:top w:val="single" w:color="auto" w:sz="4" w:space="0"/>
              <w:left w:val="single" w:color="auto" w:sz="4" w:space="0"/>
              <w:bottom w:val="single" w:color="auto" w:sz="4" w:space="0"/>
              <w:right w:val="single" w:color="auto" w:sz="4" w:space="0"/>
            </w:tcBorders>
            <w:vAlign w:val="center"/>
          </w:tcPr>
          <w:p w14:paraId="13934D49">
            <w:pPr>
              <w:tabs>
                <w:tab w:val="left" w:pos="291"/>
                <w:tab w:val="center" w:pos="461"/>
              </w:tabs>
              <w:spacing w:line="360" w:lineRule="auto"/>
              <w:jc w:val="center"/>
              <w:rPr>
                <w:rFonts w:hint="eastAsia" w:ascii="宋体" w:hAnsi="宋体" w:cs="宋体"/>
                <w:color w:val="auto"/>
                <w:szCs w:val="21"/>
              </w:rPr>
            </w:pPr>
            <w:r>
              <w:rPr>
                <w:rFonts w:hint="eastAsia" w:ascii="宋体" w:hAnsi="宋体" w:cs="宋体"/>
                <w:color w:val="auto"/>
                <w:szCs w:val="21"/>
              </w:rPr>
              <w:t>8</w:t>
            </w:r>
          </w:p>
        </w:tc>
        <w:tc>
          <w:tcPr>
            <w:tcW w:w="3115" w:type="dxa"/>
            <w:tcBorders>
              <w:left w:val="single" w:color="auto" w:sz="4" w:space="0"/>
              <w:bottom w:val="single" w:color="auto" w:sz="4" w:space="0"/>
              <w:right w:val="single" w:color="auto" w:sz="4" w:space="0"/>
            </w:tcBorders>
            <w:vAlign w:val="center"/>
          </w:tcPr>
          <w:p w14:paraId="1469882E">
            <w:pPr>
              <w:spacing w:line="360" w:lineRule="auto"/>
              <w:jc w:val="left"/>
              <w:rPr>
                <w:rFonts w:hint="eastAsia" w:ascii="宋体" w:hAnsi="宋体" w:cs="宋体"/>
                <w:color w:val="auto"/>
                <w:szCs w:val="21"/>
              </w:rPr>
            </w:pPr>
            <w:r>
              <w:rPr>
                <w:rFonts w:hint="eastAsia" w:ascii="宋体" w:hAnsi="宋体" w:cs="宋体"/>
                <w:color w:val="auto"/>
                <w:szCs w:val="21"/>
              </w:rPr>
              <w:t>特等奖</w:t>
            </w:r>
          </w:p>
        </w:tc>
      </w:tr>
      <w:tr w14:paraId="1B96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4B86CE71">
            <w:pPr>
              <w:spacing w:line="360" w:lineRule="auto"/>
              <w:jc w:val="center"/>
              <w:rPr>
                <w:rFonts w:hint="eastAsia" w:ascii="宋体" w:hAnsi="宋体" w:cs="宋体"/>
                <w:color w:val="auto"/>
                <w:szCs w:val="21"/>
              </w:rPr>
            </w:pPr>
          </w:p>
        </w:tc>
        <w:tc>
          <w:tcPr>
            <w:tcW w:w="3923" w:type="dxa"/>
            <w:vMerge w:val="continue"/>
            <w:tcBorders>
              <w:top w:val="single" w:color="auto" w:sz="4" w:space="0"/>
              <w:left w:val="single" w:color="auto" w:sz="4" w:space="0"/>
              <w:right w:val="single" w:color="auto" w:sz="4" w:space="0"/>
            </w:tcBorders>
            <w:vAlign w:val="center"/>
          </w:tcPr>
          <w:p w14:paraId="0BBA7C42">
            <w:pPr>
              <w:spacing w:line="360" w:lineRule="auto"/>
              <w:rPr>
                <w:rFonts w:hint="eastAsia" w:ascii="宋体" w:hAnsi="宋体" w:cs="宋体"/>
                <w:color w:val="auto"/>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7FF4497D">
            <w:pPr>
              <w:spacing w:line="360" w:lineRule="auto"/>
              <w:jc w:val="center"/>
              <w:rPr>
                <w:rFonts w:hint="eastAsia" w:ascii="宋体" w:hAnsi="宋体" w:cs="宋体"/>
                <w:color w:val="auto"/>
                <w:szCs w:val="21"/>
              </w:rPr>
            </w:pPr>
            <w:r>
              <w:rPr>
                <w:rFonts w:hint="eastAsia" w:ascii="宋体" w:hAnsi="宋体" w:cs="宋体"/>
                <w:color w:val="auto"/>
                <w:szCs w:val="21"/>
              </w:rPr>
              <w:t>7</w:t>
            </w:r>
          </w:p>
        </w:tc>
        <w:tc>
          <w:tcPr>
            <w:tcW w:w="3115" w:type="dxa"/>
            <w:tcBorders>
              <w:left w:val="single" w:color="auto" w:sz="4" w:space="0"/>
              <w:bottom w:val="single" w:color="auto" w:sz="4" w:space="0"/>
              <w:right w:val="single" w:color="auto" w:sz="4" w:space="0"/>
            </w:tcBorders>
            <w:vAlign w:val="center"/>
          </w:tcPr>
          <w:p w14:paraId="182E2646">
            <w:pPr>
              <w:tabs>
                <w:tab w:val="center" w:pos="1449"/>
              </w:tabs>
              <w:spacing w:line="360" w:lineRule="auto"/>
              <w:jc w:val="left"/>
              <w:rPr>
                <w:rFonts w:hint="eastAsia" w:ascii="宋体" w:hAnsi="宋体" w:cs="宋体"/>
                <w:color w:val="auto"/>
                <w:szCs w:val="21"/>
              </w:rPr>
            </w:pPr>
            <w:r>
              <w:rPr>
                <w:rFonts w:hint="eastAsia" w:ascii="宋体" w:hAnsi="宋体" w:cs="宋体"/>
                <w:color w:val="auto"/>
                <w:szCs w:val="21"/>
              </w:rPr>
              <w:t>一等奖</w:t>
            </w:r>
          </w:p>
        </w:tc>
      </w:tr>
      <w:tr w14:paraId="3403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3D296018">
            <w:pPr>
              <w:spacing w:line="360" w:lineRule="auto"/>
              <w:jc w:val="center"/>
              <w:rPr>
                <w:rFonts w:hint="eastAsia" w:ascii="宋体" w:hAnsi="宋体" w:cs="宋体"/>
                <w:color w:val="auto"/>
                <w:szCs w:val="21"/>
              </w:rPr>
            </w:pPr>
          </w:p>
        </w:tc>
        <w:tc>
          <w:tcPr>
            <w:tcW w:w="3923" w:type="dxa"/>
            <w:vMerge w:val="continue"/>
            <w:tcBorders>
              <w:top w:val="single" w:color="auto" w:sz="4" w:space="0"/>
              <w:left w:val="single" w:color="auto" w:sz="4" w:space="0"/>
              <w:right w:val="single" w:color="auto" w:sz="4" w:space="0"/>
            </w:tcBorders>
            <w:vAlign w:val="center"/>
          </w:tcPr>
          <w:p w14:paraId="005C4689">
            <w:pPr>
              <w:spacing w:line="360" w:lineRule="auto"/>
              <w:rPr>
                <w:rFonts w:hint="eastAsia" w:ascii="宋体" w:hAnsi="宋体" w:cs="宋体"/>
                <w:color w:val="auto"/>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32D21004">
            <w:pPr>
              <w:spacing w:line="360" w:lineRule="auto"/>
              <w:jc w:val="center"/>
              <w:rPr>
                <w:rFonts w:hint="eastAsia" w:ascii="宋体" w:hAnsi="宋体" w:cs="宋体"/>
                <w:color w:val="auto"/>
                <w:szCs w:val="21"/>
              </w:rPr>
            </w:pPr>
            <w:r>
              <w:rPr>
                <w:rFonts w:hint="eastAsia" w:ascii="宋体" w:hAnsi="宋体" w:cs="宋体"/>
                <w:color w:val="auto"/>
                <w:szCs w:val="21"/>
              </w:rPr>
              <w:t>6</w:t>
            </w:r>
          </w:p>
        </w:tc>
        <w:tc>
          <w:tcPr>
            <w:tcW w:w="3115" w:type="dxa"/>
            <w:tcBorders>
              <w:left w:val="single" w:color="auto" w:sz="4" w:space="0"/>
              <w:bottom w:val="single" w:color="auto" w:sz="4" w:space="0"/>
              <w:right w:val="single" w:color="auto" w:sz="4" w:space="0"/>
            </w:tcBorders>
            <w:vAlign w:val="center"/>
          </w:tcPr>
          <w:p w14:paraId="45DB6EAF">
            <w:pPr>
              <w:tabs>
                <w:tab w:val="center" w:pos="1449"/>
              </w:tabs>
              <w:spacing w:line="360" w:lineRule="auto"/>
              <w:jc w:val="left"/>
              <w:rPr>
                <w:rFonts w:hint="eastAsia" w:ascii="宋体" w:hAnsi="宋体" w:cs="宋体"/>
                <w:color w:val="auto"/>
                <w:szCs w:val="21"/>
              </w:rPr>
            </w:pPr>
            <w:r>
              <w:rPr>
                <w:rFonts w:hint="eastAsia" w:ascii="宋体" w:hAnsi="宋体" w:cs="宋体"/>
                <w:color w:val="auto"/>
                <w:szCs w:val="21"/>
              </w:rPr>
              <w:t>二等奖</w:t>
            </w:r>
          </w:p>
        </w:tc>
      </w:tr>
      <w:tr w14:paraId="7260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28781D10">
            <w:pPr>
              <w:spacing w:line="360" w:lineRule="auto"/>
              <w:jc w:val="center"/>
              <w:rPr>
                <w:rFonts w:hint="eastAsia" w:ascii="宋体" w:hAnsi="宋体" w:cs="宋体"/>
                <w:color w:val="auto"/>
                <w:szCs w:val="21"/>
              </w:rPr>
            </w:pPr>
          </w:p>
        </w:tc>
        <w:tc>
          <w:tcPr>
            <w:tcW w:w="3923" w:type="dxa"/>
            <w:vMerge w:val="continue"/>
            <w:tcBorders>
              <w:top w:val="single" w:color="auto" w:sz="4" w:space="0"/>
              <w:left w:val="single" w:color="auto" w:sz="4" w:space="0"/>
              <w:right w:val="single" w:color="auto" w:sz="4" w:space="0"/>
            </w:tcBorders>
            <w:vAlign w:val="center"/>
          </w:tcPr>
          <w:p w14:paraId="29ED727D">
            <w:pPr>
              <w:spacing w:line="360" w:lineRule="auto"/>
              <w:rPr>
                <w:rFonts w:hint="eastAsia" w:ascii="宋体" w:hAnsi="宋体" w:cs="宋体"/>
                <w:color w:val="auto"/>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392C840F">
            <w:pPr>
              <w:spacing w:line="360" w:lineRule="auto"/>
              <w:jc w:val="center"/>
              <w:rPr>
                <w:rFonts w:hint="eastAsia" w:ascii="宋体" w:hAnsi="宋体" w:cs="宋体"/>
                <w:color w:val="auto"/>
                <w:szCs w:val="21"/>
              </w:rPr>
            </w:pPr>
            <w:r>
              <w:rPr>
                <w:rFonts w:hint="eastAsia" w:ascii="宋体" w:hAnsi="宋体" w:cs="宋体"/>
                <w:color w:val="auto"/>
                <w:szCs w:val="21"/>
              </w:rPr>
              <w:t>5</w:t>
            </w:r>
          </w:p>
        </w:tc>
        <w:tc>
          <w:tcPr>
            <w:tcW w:w="3115" w:type="dxa"/>
            <w:tcBorders>
              <w:left w:val="single" w:color="auto" w:sz="4" w:space="0"/>
              <w:bottom w:val="single" w:color="auto" w:sz="4" w:space="0"/>
              <w:right w:val="single" w:color="auto" w:sz="4" w:space="0"/>
            </w:tcBorders>
            <w:vAlign w:val="center"/>
          </w:tcPr>
          <w:p w14:paraId="3F65EA88">
            <w:pPr>
              <w:tabs>
                <w:tab w:val="center" w:pos="1449"/>
              </w:tabs>
              <w:spacing w:line="360" w:lineRule="auto"/>
              <w:jc w:val="left"/>
              <w:rPr>
                <w:rFonts w:hint="eastAsia" w:ascii="宋体" w:hAnsi="宋体" w:cs="宋体"/>
                <w:color w:val="auto"/>
                <w:szCs w:val="21"/>
              </w:rPr>
            </w:pPr>
            <w:r>
              <w:rPr>
                <w:rFonts w:hint="eastAsia" w:ascii="宋体" w:hAnsi="宋体" w:cs="宋体"/>
                <w:color w:val="auto"/>
                <w:szCs w:val="21"/>
              </w:rPr>
              <w:t>三等奖</w:t>
            </w:r>
          </w:p>
        </w:tc>
      </w:tr>
      <w:tr w14:paraId="00E0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bottom w:val="single" w:color="auto" w:sz="4" w:space="0"/>
              <w:right w:val="single" w:color="auto" w:sz="4" w:space="0"/>
            </w:tcBorders>
            <w:vAlign w:val="center"/>
          </w:tcPr>
          <w:p w14:paraId="276F4268">
            <w:pPr>
              <w:spacing w:line="360" w:lineRule="auto"/>
              <w:jc w:val="center"/>
              <w:rPr>
                <w:rFonts w:hint="eastAsia" w:ascii="宋体" w:hAnsi="宋体" w:cs="宋体"/>
                <w:color w:val="auto"/>
                <w:szCs w:val="21"/>
              </w:rPr>
            </w:pPr>
          </w:p>
        </w:tc>
        <w:tc>
          <w:tcPr>
            <w:tcW w:w="3923" w:type="dxa"/>
            <w:vMerge w:val="continue"/>
            <w:tcBorders>
              <w:top w:val="single" w:color="auto" w:sz="4" w:space="0"/>
              <w:left w:val="single" w:color="auto" w:sz="4" w:space="0"/>
              <w:right w:val="single" w:color="auto" w:sz="4" w:space="0"/>
            </w:tcBorders>
            <w:vAlign w:val="center"/>
          </w:tcPr>
          <w:p w14:paraId="357F60D9">
            <w:pPr>
              <w:spacing w:line="360" w:lineRule="auto"/>
              <w:rPr>
                <w:rFonts w:hint="eastAsia" w:ascii="宋体" w:hAnsi="宋体" w:cs="宋体"/>
                <w:color w:val="auto"/>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0CFE862F">
            <w:pPr>
              <w:spacing w:line="360" w:lineRule="auto"/>
              <w:jc w:val="center"/>
              <w:rPr>
                <w:rFonts w:hint="eastAsia" w:ascii="宋体" w:hAnsi="宋体" w:cs="宋体"/>
                <w:color w:val="auto"/>
                <w:szCs w:val="21"/>
              </w:rPr>
            </w:pPr>
            <w:r>
              <w:rPr>
                <w:rFonts w:hint="eastAsia" w:ascii="宋体" w:hAnsi="宋体" w:cs="宋体"/>
                <w:color w:val="auto"/>
                <w:szCs w:val="21"/>
              </w:rPr>
              <w:t>4</w:t>
            </w:r>
          </w:p>
        </w:tc>
        <w:tc>
          <w:tcPr>
            <w:tcW w:w="3115" w:type="dxa"/>
            <w:tcBorders>
              <w:left w:val="single" w:color="auto" w:sz="4" w:space="0"/>
              <w:bottom w:val="single" w:color="auto" w:sz="4" w:space="0"/>
              <w:right w:val="single" w:color="auto" w:sz="4" w:space="0"/>
            </w:tcBorders>
            <w:vAlign w:val="center"/>
          </w:tcPr>
          <w:p w14:paraId="20325B5C">
            <w:pPr>
              <w:spacing w:line="360" w:lineRule="auto"/>
              <w:jc w:val="left"/>
              <w:rPr>
                <w:rFonts w:hint="eastAsia" w:ascii="宋体" w:hAnsi="宋体" w:cs="宋体"/>
                <w:color w:val="auto"/>
                <w:szCs w:val="21"/>
              </w:rPr>
            </w:pPr>
            <w:r>
              <w:rPr>
                <w:rFonts w:hint="eastAsia" w:ascii="宋体" w:hAnsi="宋体" w:cs="宋体"/>
                <w:color w:val="auto"/>
                <w:szCs w:val="21"/>
              </w:rPr>
              <w:t>优胜奖</w:t>
            </w:r>
          </w:p>
          <w:p w14:paraId="67B3B260">
            <w:pPr>
              <w:spacing w:line="360" w:lineRule="auto"/>
              <w:jc w:val="left"/>
              <w:rPr>
                <w:rFonts w:hint="eastAsia" w:ascii="宋体" w:hAnsi="宋体" w:cs="宋体"/>
                <w:color w:val="auto"/>
                <w:szCs w:val="21"/>
              </w:rPr>
            </w:pPr>
          </w:p>
          <w:p w14:paraId="74FC5D6E">
            <w:pPr>
              <w:spacing w:line="360" w:lineRule="auto"/>
              <w:jc w:val="left"/>
              <w:rPr>
                <w:rFonts w:hint="eastAsia" w:ascii="宋体" w:hAnsi="宋体" w:cs="宋体"/>
                <w:color w:val="auto"/>
                <w:szCs w:val="21"/>
              </w:rPr>
            </w:pPr>
          </w:p>
        </w:tc>
      </w:tr>
      <w:tr w14:paraId="14A9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exact"/>
        </w:trPr>
        <w:tc>
          <w:tcPr>
            <w:tcW w:w="462" w:type="dxa"/>
            <w:vMerge w:val="restart"/>
            <w:tcBorders>
              <w:top w:val="single" w:color="auto" w:sz="4" w:space="0"/>
              <w:left w:val="single" w:color="auto" w:sz="4" w:space="0"/>
              <w:right w:val="single" w:color="auto" w:sz="4" w:space="0"/>
            </w:tcBorders>
            <w:vAlign w:val="center"/>
          </w:tcPr>
          <w:p w14:paraId="1F84AFDE">
            <w:pPr>
              <w:tabs>
                <w:tab w:val="left" w:pos="247"/>
              </w:tabs>
              <w:spacing w:line="360" w:lineRule="auto"/>
              <w:jc w:val="center"/>
              <w:rPr>
                <w:rFonts w:hint="eastAsia" w:ascii="宋体" w:hAnsi="宋体" w:cs="宋体"/>
                <w:color w:val="auto"/>
                <w:szCs w:val="21"/>
              </w:rPr>
            </w:pPr>
            <w:r>
              <w:rPr>
                <w:rFonts w:hint="eastAsia" w:ascii="宋体" w:hAnsi="宋体" w:cs="宋体"/>
                <w:color w:val="auto"/>
                <w:szCs w:val="21"/>
              </w:rPr>
              <w:t>培养环节</w:t>
            </w:r>
          </w:p>
        </w:tc>
        <w:tc>
          <w:tcPr>
            <w:tcW w:w="3923" w:type="dxa"/>
            <w:tcBorders>
              <w:top w:val="single" w:color="auto" w:sz="4" w:space="0"/>
              <w:left w:val="single" w:color="auto" w:sz="4" w:space="0"/>
              <w:right w:val="single" w:color="auto" w:sz="4" w:space="0"/>
            </w:tcBorders>
            <w:vAlign w:val="center"/>
          </w:tcPr>
          <w:p w14:paraId="175E5676">
            <w:pPr>
              <w:spacing w:line="360" w:lineRule="auto"/>
              <w:rPr>
                <w:rFonts w:hint="eastAsia" w:ascii="宋体" w:hAnsi="宋体" w:cs="宋体"/>
                <w:color w:val="auto"/>
                <w:szCs w:val="21"/>
              </w:rPr>
            </w:pPr>
            <w:r>
              <w:rPr>
                <w:rFonts w:hint="eastAsia" w:ascii="宋体" w:hAnsi="宋体" w:cs="宋体"/>
                <w:color w:val="auto"/>
                <w:szCs w:val="21"/>
              </w:rPr>
              <w:t>文献综述</w:t>
            </w:r>
          </w:p>
        </w:tc>
        <w:tc>
          <w:tcPr>
            <w:tcW w:w="1019" w:type="dxa"/>
            <w:tcBorders>
              <w:top w:val="single" w:color="auto" w:sz="4" w:space="0"/>
              <w:left w:val="single" w:color="auto" w:sz="4" w:space="0"/>
              <w:right w:val="single" w:color="auto" w:sz="4" w:space="0"/>
            </w:tcBorders>
            <w:vAlign w:val="center"/>
          </w:tcPr>
          <w:p w14:paraId="07D85F74">
            <w:pPr>
              <w:spacing w:line="360" w:lineRule="auto"/>
              <w:jc w:val="center"/>
              <w:rPr>
                <w:rFonts w:hint="eastAsia" w:ascii="宋体" w:hAnsi="宋体" w:cs="宋体"/>
                <w:color w:val="auto"/>
                <w:szCs w:val="21"/>
              </w:rPr>
            </w:pPr>
            <w:r>
              <w:rPr>
                <w:rFonts w:hint="eastAsia" w:ascii="宋体" w:hAnsi="宋体" w:cs="宋体"/>
                <w:color w:val="auto"/>
                <w:szCs w:val="21"/>
              </w:rPr>
              <w:t>5</w:t>
            </w:r>
          </w:p>
        </w:tc>
        <w:tc>
          <w:tcPr>
            <w:tcW w:w="3115" w:type="dxa"/>
            <w:tcBorders>
              <w:left w:val="single" w:color="auto" w:sz="4" w:space="0"/>
              <w:right w:val="single" w:color="auto" w:sz="4" w:space="0"/>
            </w:tcBorders>
            <w:vAlign w:val="center"/>
          </w:tcPr>
          <w:p w14:paraId="3703381B">
            <w:pPr>
              <w:spacing w:line="360" w:lineRule="auto"/>
              <w:rPr>
                <w:rFonts w:hint="eastAsia" w:ascii="宋体" w:hAnsi="宋体" w:cs="宋体"/>
                <w:color w:val="auto"/>
                <w:szCs w:val="21"/>
              </w:rPr>
            </w:pPr>
            <w:r>
              <w:rPr>
                <w:rFonts w:hint="eastAsia" w:ascii="宋体" w:hAnsi="宋体" w:cs="宋体"/>
                <w:color w:val="auto"/>
                <w:szCs w:val="21"/>
              </w:rPr>
              <w:t>优</w:t>
            </w:r>
          </w:p>
        </w:tc>
      </w:tr>
      <w:tr w14:paraId="6D65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exact"/>
        </w:trPr>
        <w:tc>
          <w:tcPr>
            <w:tcW w:w="462" w:type="dxa"/>
            <w:vMerge w:val="continue"/>
            <w:tcBorders>
              <w:left w:val="single" w:color="auto" w:sz="4" w:space="0"/>
              <w:bottom w:val="single" w:color="auto" w:sz="4" w:space="0"/>
              <w:right w:val="single" w:color="auto" w:sz="4" w:space="0"/>
            </w:tcBorders>
            <w:vAlign w:val="center"/>
          </w:tcPr>
          <w:p w14:paraId="675DA524">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right w:val="single" w:color="auto" w:sz="4" w:space="0"/>
            </w:tcBorders>
            <w:vAlign w:val="center"/>
          </w:tcPr>
          <w:p w14:paraId="69CB26BF">
            <w:pPr>
              <w:spacing w:line="360" w:lineRule="auto"/>
              <w:rPr>
                <w:rFonts w:hint="eastAsia" w:ascii="宋体" w:hAnsi="宋体" w:cs="宋体"/>
                <w:color w:val="auto"/>
                <w:szCs w:val="21"/>
              </w:rPr>
            </w:pPr>
            <w:r>
              <w:rPr>
                <w:rFonts w:hint="eastAsia" w:ascii="宋体" w:hAnsi="宋体" w:cs="宋体"/>
                <w:color w:val="auto"/>
                <w:szCs w:val="21"/>
              </w:rPr>
              <w:t>开题报告</w:t>
            </w:r>
          </w:p>
        </w:tc>
        <w:tc>
          <w:tcPr>
            <w:tcW w:w="1019" w:type="dxa"/>
            <w:tcBorders>
              <w:top w:val="single" w:color="auto" w:sz="4" w:space="0"/>
              <w:left w:val="single" w:color="auto" w:sz="4" w:space="0"/>
              <w:right w:val="single" w:color="auto" w:sz="4" w:space="0"/>
            </w:tcBorders>
            <w:vAlign w:val="center"/>
          </w:tcPr>
          <w:p w14:paraId="3A97D62B">
            <w:pPr>
              <w:spacing w:line="360" w:lineRule="auto"/>
              <w:jc w:val="center"/>
              <w:rPr>
                <w:rFonts w:hint="eastAsia" w:ascii="宋体" w:hAnsi="宋体" w:cs="宋体"/>
                <w:color w:val="auto"/>
                <w:szCs w:val="21"/>
              </w:rPr>
            </w:pPr>
            <w:r>
              <w:rPr>
                <w:rFonts w:hint="eastAsia" w:ascii="宋体" w:hAnsi="宋体" w:cs="宋体"/>
                <w:color w:val="auto"/>
                <w:szCs w:val="21"/>
              </w:rPr>
              <w:t>5</w:t>
            </w:r>
          </w:p>
        </w:tc>
        <w:tc>
          <w:tcPr>
            <w:tcW w:w="3115" w:type="dxa"/>
            <w:tcBorders>
              <w:left w:val="single" w:color="auto" w:sz="4" w:space="0"/>
              <w:right w:val="single" w:color="auto" w:sz="4" w:space="0"/>
            </w:tcBorders>
            <w:vAlign w:val="center"/>
          </w:tcPr>
          <w:p w14:paraId="606CE42A">
            <w:pPr>
              <w:spacing w:line="360" w:lineRule="auto"/>
              <w:rPr>
                <w:rFonts w:hint="eastAsia" w:ascii="宋体" w:hAnsi="宋体" w:cs="宋体"/>
                <w:color w:val="auto"/>
                <w:szCs w:val="21"/>
              </w:rPr>
            </w:pPr>
            <w:r>
              <w:rPr>
                <w:rFonts w:hint="eastAsia" w:ascii="宋体" w:hAnsi="宋体" w:cs="宋体"/>
                <w:color w:val="auto"/>
                <w:szCs w:val="21"/>
              </w:rPr>
              <w:t>优</w:t>
            </w:r>
          </w:p>
        </w:tc>
      </w:tr>
      <w:tr w14:paraId="31CB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restart"/>
            <w:tcBorders>
              <w:top w:val="single" w:color="auto" w:sz="4" w:space="0"/>
              <w:left w:val="single" w:color="auto" w:sz="4" w:space="0"/>
              <w:right w:val="single" w:color="auto" w:sz="4" w:space="0"/>
            </w:tcBorders>
            <w:vAlign w:val="center"/>
          </w:tcPr>
          <w:p w14:paraId="6050DA24">
            <w:pPr>
              <w:spacing w:line="360" w:lineRule="auto"/>
              <w:jc w:val="center"/>
              <w:rPr>
                <w:rFonts w:hint="eastAsia" w:ascii="宋体" w:hAnsi="宋体" w:cs="宋体"/>
                <w:color w:val="auto"/>
                <w:szCs w:val="21"/>
              </w:rPr>
            </w:pPr>
            <w:r>
              <w:rPr>
                <w:rFonts w:hint="eastAsia" w:ascii="宋体" w:hAnsi="宋体" w:cs="宋体"/>
                <w:color w:val="auto"/>
                <w:szCs w:val="21"/>
                <w:highlight w:val="none"/>
              </w:rPr>
              <w:t>科创实践情</w:t>
            </w:r>
            <w:r>
              <w:rPr>
                <w:rFonts w:hint="eastAsia" w:ascii="宋体" w:hAnsi="宋体" w:cs="宋体"/>
                <w:color w:val="auto"/>
                <w:szCs w:val="21"/>
              </w:rPr>
              <w:t>况</w:t>
            </w:r>
          </w:p>
        </w:tc>
        <w:tc>
          <w:tcPr>
            <w:tcW w:w="3923" w:type="dxa"/>
            <w:tcBorders>
              <w:top w:val="single" w:color="auto" w:sz="4" w:space="0"/>
              <w:left w:val="single" w:color="auto" w:sz="4" w:space="0"/>
              <w:bottom w:val="single" w:color="auto" w:sz="4" w:space="0"/>
              <w:right w:val="single" w:color="auto" w:sz="4" w:space="0"/>
            </w:tcBorders>
            <w:vAlign w:val="center"/>
          </w:tcPr>
          <w:p w14:paraId="109954C9">
            <w:pPr>
              <w:pStyle w:val="3"/>
              <w:spacing w:line="360" w:lineRule="auto"/>
              <w:rPr>
                <w:rFonts w:hint="eastAsia" w:hAnsi="宋体" w:cs="宋体"/>
                <w:color w:val="auto"/>
              </w:rPr>
            </w:pPr>
            <w:r>
              <w:rPr>
                <w:rFonts w:hint="eastAsia" w:hAnsi="宋体" w:cs="宋体"/>
                <w:color w:val="auto"/>
              </w:rPr>
              <w:t>国家级A类或国际级赛事一等奖</w:t>
            </w:r>
          </w:p>
        </w:tc>
        <w:tc>
          <w:tcPr>
            <w:tcW w:w="1019" w:type="dxa"/>
            <w:tcBorders>
              <w:top w:val="single" w:color="auto" w:sz="4" w:space="0"/>
              <w:left w:val="single" w:color="auto" w:sz="4" w:space="0"/>
              <w:bottom w:val="single" w:color="auto" w:sz="4" w:space="0"/>
              <w:right w:val="single" w:color="auto" w:sz="4" w:space="0"/>
            </w:tcBorders>
            <w:vAlign w:val="center"/>
          </w:tcPr>
          <w:p w14:paraId="512343FC">
            <w:pPr>
              <w:pStyle w:val="3"/>
              <w:spacing w:line="360" w:lineRule="auto"/>
              <w:jc w:val="center"/>
              <w:rPr>
                <w:rFonts w:hint="eastAsia" w:hAnsi="宋体" w:cs="宋体"/>
                <w:color w:val="auto"/>
              </w:rPr>
            </w:pPr>
            <w:r>
              <w:rPr>
                <w:rFonts w:hint="eastAsia" w:hAnsi="宋体" w:cs="宋体"/>
                <w:color w:val="auto"/>
              </w:rPr>
              <w:t>25</w:t>
            </w:r>
          </w:p>
        </w:tc>
        <w:tc>
          <w:tcPr>
            <w:tcW w:w="3115" w:type="dxa"/>
            <w:vMerge w:val="restart"/>
            <w:tcBorders>
              <w:top w:val="single" w:color="auto" w:sz="4" w:space="0"/>
              <w:left w:val="single" w:color="auto" w:sz="4" w:space="0"/>
              <w:right w:val="single" w:color="auto" w:sz="4" w:space="0"/>
            </w:tcBorders>
            <w:vAlign w:val="center"/>
          </w:tcPr>
          <w:p w14:paraId="5EF5F623">
            <w:pPr>
              <w:spacing w:line="360" w:lineRule="auto"/>
              <w:rPr>
                <w:color w:val="auto"/>
                <w:szCs w:val="21"/>
              </w:rPr>
            </w:pPr>
            <w:r>
              <w:rPr>
                <w:color w:val="auto"/>
                <w:szCs w:val="21"/>
              </w:rPr>
              <w:t>1.</w:t>
            </w:r>
            <w:r>
              <w:rPr>
                <w:rFonts w:hint="eastAsia"/>
                <w:color w:val="auto"/>
                <w:szCs w:val="21"/>
              </w:rPr>
              <w:t xml:space="preserve"> 该得分为个人得分，不分排名先后</w:t>
            </w:r>
            <w:r>
              <w:rPr>
                <w:color w:val="auto"/>
                <w:szCs w:val="21"/>
              </w:rPr>
              <w:t>；</w:t>
            </w:r>
          </w:p>
          <w:p w14:paraId="6DAD4276">
            <w:pPr>
              <w:spacing w:line="360" w:lineRule="auto"/>
              <w:rPr>
                <w:color w:val="auto"/>
                <w:szCs w:val="21"/>
              </w:rPr>
            </w:pPr>
            <w:r>
              <w:rPr>
                <w:color w:val="auto"/>
                <w:szCs w:val="21"/>
              </w:rPr>
              <w:t>2. 各赛事如设特等奖，并获得特等奖，</w:t>
            </w:r>
            <w:r>
              <w:rPr>
                <w:rFonts w:hint="eastAsia"/>
                <w:color w:val="auto"/>
                <w:szCs w:val="21"/>
              </w:rPr>
              <w:t>得</w:t>
            </w:r>
            <w:r>
              <w:rPr>
                <w:color w:val="auto"/>
                <w:szCs w:val="21"/>
              </w:rPr>
              <w:t>分上浮20%；</w:t>
            </w:r>
          </w:p>
          <w:p w14:paraId="637D8250">
            <w:pPr>
              <w:spacing w:line="360" w:lineRule="auto"/>
              <w:rPr>
                <w:color w:val="auto"/>
                <w:szCs w:val="21"/>
              </w:rPr>
            </w:pPr>
            <w:r>
              <w:rPr>
                <w:rFonts w:hint="eastAsia"/>
                <w:color w:val="auto"/>
                <w:szCs w:val="21"/>
              </w:rPr>
              <w:t>3. 若以团队参赛并担任团队负责人</w:t>
            </w:r>
            <w:r>
              <w:rPr>
                <w:rFonts w:hint="eastAsia"/>
                <w:color w:val="auto"/>
                <w:szCs w:val="21"/>
                <w:lang w:eastAsia="zh-CN"/>
              </w:rPr>
              <w:t>（</w:t>
            </w:r>
            <w:r>
              <w:rPr>
                <w:rFonts w:hint="eastAsia"/>
                <w:color w:val="auto"/>
                <w:szCs w:val="21"/>
                <w:lang w:val="en-US" w:eastAsia="zh-CN"/>
              </w:rPr>
              <w:t>需证书上明确标注</w:t>
            </w:r>
            <w:r>
              <w:rPr>
                <w:rFonts w:hint="eastAsia"/>
                <w:color w:val="auto"/>
                <w:szCs w:val="21"/>
                <w:lang w:eastAsia="zh-CN"/>
              </w:rPr>
              <w:t>）</w:t>
            </w:r>
            <w:r>
              <w:rPr>
                <w:rFonts w:hint="eastAsia"/>
                <w:color w:val="auto"/>
                <w:szCs w:val="21"/>
              </w:rPr>
              <w:t>，得分为单人得分的2倍；</w:t>
            </w:r>
          </w:p>
          <w:p w14:paraId="64528E8A">
            <w:pPr>
              <w:spacing w:line="360" w:lineRule="auto"/>
              <w:rPr>
                <w:color w:val="auto"/>
                <w:szCs w:val="21"/>
              </w:rPr>
            </w:pPr>
            <w:r>
              <w:rPr>
                <w:rFonts w:hint="eastAsia"/>
                <w:color w:val="auto"/>
                <w:szCs w:val="21"/>
              </w:rPr>
              <w:t>4</w:t>
            </w:r>
            <w:r>
              <w:rPr>
                <w:color w:val="auto"/>
                <w:szCs w:val="21"/>
              </w:rPr>
              <w:t xml:space="preserve">. </w:t>
            </w:r>
            <w:r>
              <w:rPr>
                <w:rFonts w:hint="eastAsia"/>
                <w:color w:val="auto"/>
                <w:szCs w:val="21"/>
              </w:rPr>
              <w:t>参评当年学业奖学金时，</w:t>
            </w:r>
            <w:r>
              <w:rPr>
                <w:color w:val="auto"/>
                <w:szCs w:val="21"/>
              </w:rPr>
              <w:t>赛事分类以学校教务处（团委）</w:t>
            </w:r>
            <w:r>
              <w:rPr>
                <w:rFonts w:hint="eastAsia"/>
                <w:color w:val="auto"/>
                <w:szCs w:val="21"/>
              </w:rPr>
              <w:t>上一年度</w:t>
            </w:r>
            <w:r>
              <w:rPr>
                <w:color w:val="auto"/>
                <w:szCs w:val="21"/>
              </w:rPr>
              <w:t>发布数据为准</w:t>
            </w:r>
            <w:r>
              <w:rPr>
                <w:rFonts w:hint="eastAsia"/>
                <w:color w:val="auto"/>
                <w:szCs w:val="21"/>
              </w:rPr>
              <w:t>，赛事等级对应附件3；</w:t>
            </w:r>
          </w:p>
          <w:p w14:paraId="38B3D54C">
            <w:pPr>
              <w:spacing w:line="360" w:lineRule="auto"/>
              <w:rPr>
                <w:color w:val="auto"/>
                <w:szCs w:val="21"/>
              </w:rPr>
            </w:pPr>
            <w:r>
              <w:rPr>
                <w:rFonts w:hint="eastAsia"/>
                <w:color w:val="auto"/>
                <w:szCs w:val="21"/>
              </w:rPr>
              <w:t>5</w:t>
            </w:r>
            <w:r>
              <w:rPr>
                <w:color w:val="auto"/>
                <w:szCs w:val="21"/>
              </w:rPr>
              <w:t xml:space="preserve">. </w:t>
            </w:r>
            <w:r>
              <w:rPr>
                <w:rFonts w:hint="eastAsia"/>
                <w:color w:val="auto"/>
                <w:szCs w:val="21"/>
              </w:rPr>
              <w:t>国家级A类或国际级赛事中仅获得省市级奖项者得分按国家级C类赛事、上海市市级赛事分值计算；</w:t>
            </w:r>
          </w:p>
          <w:p w14:paraId="0999D3CE">
            <w:pPr>
              <w:spacing w:line="360" w:lineRule="auto"/>
              <w:rPr>
                <w:color w:val="auto"/>
                <w:szCs w:val="21"/>
              </w:rPr>
            </w:pPr>
            <w:r>
              <w:rPr>
                <w:rFonts w:hint="eastAsia"/>
                <w:color w:val="auto"/>
                <w:szCs w:val="21"/>
              </w:rPr>
              <w:t>6. 同一赛事分别获得不同级别奖项得分以最高分计，不重复计分。</w:t>
            </w:r>
          </w:p>
          <w:p w14:paraId="04DD461E">
            <w:pPr>
              <w:spacing w:line="360" w:lineRule="auto"/>
              <w:rPr>
                <w:b/>
                <w:bCs/>
                <w:color w:val="auto"/>
                <w:szCs w:val="21"/>
              </w:rPr>
            </w:pPr>
          </w:p>
        </w:tc>
      </w:tr>
      <w:tr w14:paraId="3FC7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4D248961">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5E0ACFDB">
            <w:pPr>
              <w:pStyle w:val="3"/>
              <w:spacing w:line="360" w:lineRule="auto"/>
              <w:rPr>
                <w:rFonts w:hint="eastAsia" w:hAnsi="宋体" w:cs="宋体"/>
                <w:color w:val="auto"/>
              </w:rPr>
            </w:pPr>
            <w:r>
              <w:rPr>
                <w:rFonts w:hint="eastAsia" w:hAnsi="宋体" w:cs="宋体"/>
                <w:color w:val="auto"/>
              </w:rPr>
              <w:t>国家级A类或国际级赛事二等奖</w:t>
            </w:r>
          </w:p>
        </w:tc>
        <w:tc>
          <w:tcPr>
            <w:tcW w:w="1019" w:type="dxa"/>
            <w:tcBorders>
              <w:top w:val="single" w:color="auto" w:sz="4" w:space="0"/>
              <w:left w:val="single" w:color="auto" w:sz="4" w:space="0"/>
              <w:bottom w:val="single" w:color="auto" w:sz="4" w:space="0"/>
              <w:right w:val="single" w:color="auto" w:sz="4" w:space="0"/>
            </w:tcBorders>
            <w:vAlign w:val="center"/>
          </w:tcPr>
          <w:p w14:paraId="05177757">
            <w:pPr>
              <w:spacing w:line="360" w:lineRule="auto"/>
              <w:jc w:val="center"/>
              <w:rPr>
                <w:rFonts w:hint="eastAsia" w:ascii="宋体" w:hAnsi="宋体" w:cs="宋体"/>
                <w:color w:val="auto"/>
                <w:szCs w:val="21"/>
              </w:rPr>
            </w:pPr>
            <w:r>
              <w:rPr>
                <w:rFonts w:hint="eastAsia" w:ascii="宋体" w:hAnsi="宋体" w:cs="宋体"/>
                <w:color w:val="auto"/>
                <w:szCs w:val="21"/>
              </w:rPr>
              <w:t>23</w:t>
            </w:r>
          </w:p>
        </w:tc>
        <w:tc>
          <w:tcPr>
            <w:tcW w:w="3115" w:type="dxa"/>
            <w:vMerge w:val="continue"/>
            <w:tcBorders>
              <w:left w:val="single" w:color="auto" w:sz="4" w:space="0"/>
              <w:right w:val="single" w:color="auto" w:sz="4" w:space="0"/>
            </w:tcBorders>
            <w:vAlign w:val="center"/>
          </w:tcPr>
          <w:p w14:paraId="56A1FBE0">
            <w:pPr>
              <w:spacing w:line="360" w:lineRule="auto"/>
              <w:rPr>
                <w:rFonts w:hint="eastAsia" w:ascii="宋体" w:hAnsi="宋体" w:cs="宋体"/>
                <w:b/>
                <w:bCs/>
                <w:color w:val="auto"/>
                <w:szCs w:val="21"/>
              </w:rPr>
            </w:pPr>
          </w:p>
        </w:tc>
      </w:tr>
      <w:tr w14:paraId="3E43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0C2EA63E">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6AEF4AC4">
            <w:pPr>
              <w:pStyle w:val="3"/>
              <w:spacing w:line="360" w:lineRule="auto"/>
              <w:rPr>
                <w:rFonts w:hint="eastAsia" w:hAnsi="宋体" w:cs="宋体"/>
                <w:color w:val="auto"/>
              </w:rPr>
            </w:pPr>
            <w:r>
              <w:rPr>
                <w:rFonts w:hint="eastAsia" w:hAnsi="宋体" w:cs="宋体"/>
                <w:color w:val="auto"/>
              </w:rPr>
              <w:t>国家级A类或国际级赛事三等奖</w:t>
            </w:r>
          </w:p>
        </w:tc>
        <w:tc>
          <w:tcPr>
            <w:tcW w:w="1019" w:type="dxa"/>
            <w:tcBorders>
              <w:top w:val="single" w:color="auto" w:sz="4" w:space="0"/>
              <w:left w:val="single" w:color="auto" w:sz="4" w:space="0"/>
              <w:bottom w:val="single" w:color="auto" w:sz="4" w:space="0"/>
              <w:right w:val="single" w:color="auto" w:sz="4" w:space="0"/>
            </w:tcBorders>
            <w:vAlign w:val="center"/>
          </w:tcPr>
          <w:p w14:paraId="3E646BB2">
            <w:pPr>
              <w:spacing w:line="360" w:lineRule="auto"/>
              <w:jc w:val="center"/>
              <w:rPr>
                <w:rFonts w:hint="eastAsia" w:ascii="宋体" w:hAnsi="宋体" w:cs="宋体"/>
                <w:color w:val="auto"/>
                <w:szCs w:val="21"/>
              </w:rPr>
            </w:pPr>
            <w:r>
              <w:rPr>
                <w:rFonts w:hint="eastAsia" w:ascii="宋体" w:hAnsi="宋体" w:cs="宋体"/>
                <w:color w:val="auto"/>
                <w:szCs w:val="21"/>
              </w:rPr>
              <w:t>21</w:t>
            </w:r>
          </w:p>
        </w:tc>
        <w:tc>
          <w:tcPr>
            <w:tcW w:w="3115" w:type="dxa"/>
            <w:vMerge w:val="continue"/>
            <w:tcBorders>
              <w:left w:val="single" w:color="auto" w:sz="4" w:space="0"/>
              <w:right w:val="single" w:color="auto" w:sz="4" w:space="0"/>
            </w:tcBorders>
            <w:vAlign w:val="center"/>
          </w:tcPr>
          <w:p w14:paraId="3CDCC72B">
            <w:pPr>
              <w:spacing w:line="360" w:lineRule="auto"/>
              <w:rPr>
                <w:rFonts w:hint="eastAsia" w:ascii="宋体" w:hAnsi="宋体" w:cs="宋体"/>
                <w:color w:val="auto"/>
                <w:szCs w:val="21"/>
              </w:rPr>
            </w:pPr>
          </w:p>
        </w:tc>
      </w:tr>
      <w:tr w14:paraId="6D4E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462" w:type="dxa"/>
            <w:vMerge w:val="continue"/>
            <w:tcBorders>
              <w:left w:val="single" w:color="auto" w:sz="4" w:space="0"/>
              <w:right w:val="single" w:color="auto" w:sz="4" w:space="0"/>
            </w:tcBorders>
            <w:vAlign w:val="center"/>
          </w:tcPr>
          <w:p w14:paraId="1279A082">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37872791">
            <w:pPr>
              <w:pStyle w:val="3"/>
              <w:spacing w:line="360" w:lineRule="auto"/>
              <w:rPr>
                <w:rFonts w:hint="eastAsia" w:hAnsi="宋体" w:cs="宋体"/>
                <w:color w:val="auto"/>
              </w:rPr>
            </w:pPr>
            <w:r>
              <w:rPr>
                <w:rFonts w:hint="eastAsia" w:hAnsi="宋体" w:cs="宋体"/>
                <w:color w:val="auto"/>
              </w:rPr>
              <w:t>国家级B类赛事一等奖</w:t>
            </w:r>
          </w:p>
        </w:tc>
        <w:tc>
          <w:tcPr>
            <w:tcW w:w="1019" w:type="dxa"/>
            <w:tcBorders>
              <w:top w:val="single" w:color="auto" w:sz="4" w:space="0"/>
              <w:left w:val="single" w:color="auto" w:sz="4" w:space="0"/>
              <w:bottom w:val="single" w:color="auto" w:sz="4" w:space="0"/>
              <w:right w:val="single" w:color="auto" w:sz="4" w:space="0"/>
            </w:tcBorders>
            <w:vAlign w:val="center"/>
          </w:tcPr>
          <w:p w14:paraId="0DC6E325">
            <w:pPr>
              <w:spacing w:line="360" w:lineRule="auto"/>
              <w:jc w:val="center"/>
              <w:rPr>
                <w:rFonts w:hint="eastAsia" w:ascii="宋体" w:hAnsi="宋体" w:cs="宋体"/>
                <w:color w:val="auto"/>
                <w:szCs w:val="21"/>
              </w:rPr>
            </w:pPr>
            <w:r>
              <w:rPr>
                <w:rFonts w:hint="eastAsia" w:ascii="宋体" w:hAnsi="宋体" w:cs="宋体"/>
                <w:color w:val="auto"/>
                <w:szCs w:val="21"/>
              </w:rPr>
              <w:t>20</w:t>
            </w:r>
          </w:p>
        </w:tc>
        <w:tc>
          <w:tcPr>
            <w:tcW w:w="3115" w:type="dxa"/>
            <w:vMerge w:val="continue"/>
            <w:tcBorders>
              <w:left w:val="single" w:color="auto" w:sz="4" w:space="0"/>
              <w:right w:val="single" w:color="auto" w:sz="4" w:space="0"/>
            </w:tcBorders>
            <w:vAlign w:val="center"/>
          </w:tcPr>
          <w:p w14:paraId="6CD093C6">
            <w:pPr>
              <w:spacing w:line="360" w:lineRule="auto"/>
              <w:rPr>
                <w:rFonts w:hint="eastAsia" w:ascii="宋体" w:hAnsi="宋体" w:cs="宋体"/>
                <w:color w:val="auto"/>
                <w:szCs w:val="21"/>
              </w:rPr>
            </w:pPr>
          </w:p>
        </w:tc>
      </w:tr>
      <w:tr w14:paraId="1703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462" w:type="dxa"/>
            <w:vMerge w:val="continue"/>
            <w:tcBorders>
              <w:left w:val="single" w:color="auto" w:sz="4" w:space="0"/>
              <w:right w:val="single" w:color="auto" w:sz="4" w:space="0"/>
            </w:tcBorders>
            <w:vAlign w:val="center"/>
          </w:tcPr>
          <w:p w14:paraId="063D4C42">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70811057">
            <w:pPr>
              <w:pStyle w:val="3"/>
              <w:spacing w:line="360" w:lineRule="auto"/>
              <w:rPr>
                <w:rFonts w:hint="eastAsia" w:hAnsi="宋体" w:cs="宋体"/>
                <w:color w:val="auto"/>
              </w:rPr>
            </w:pPr>
            <w:r>
              <w:rPr>
                <w:rFonts w:hint="eastAsia" w:hAnsi="宋体" w:cs="宋体"/>
                <w:color w:val="auto"/>
              </w:rPr>
              <w:t>国家级B类赛事二等奖</w:t>
            </w:r>
          </w:p>
        </w:tc>
        <w:tc>
          <w:tcPr>
            <w:tcW w:w="1019" w:type="dxa"/>
            <w:tcBorders>
              <w:top w:val="single" w:color="auto" w:sz="4" w:space="0"/>
              <w:left w:val="single" w:color="auto" w:sz="4" w:space="0"/>
              <w:bottom w:val="single" w:color="auto" w:sz="4" w:space="0"/>
              <w:right w:val="single" w:color="auto" w:sz="4" w:space="0"/>
            </w:tcBorders>
            <w:vAlign w:val="center"/>
          </w:tcPr>
          <w:p w14:paraId="7E35DE60">
            <w:pPr>
              <w:spacing w:line="360" w:lineRule="auto"/>
              <w:jc w:val="center"/>
              <w:rPr>
                <w:rFonts w:hint="eastAsia" w:ascii="宋体" w:hAnsi="宋体" w:cs="宋体"/>
                <w:color w:val="auto"/>
                <w:szCs w:val="21"/>
              </w:rPr>
            </w:pPr>
            <w:r>
              <w:rPr>
                <w:rFonts w:hint="eastAsia" w:ascii="宋体" w:hAnsi="宋体" w:cs="宋体"/>
                <w:color w:val="auto"/>
                <w:szCs w:val="21"/>
              </w:rPr>
              <w:t>18</w:t>
            </w:r>
          </w:p>
        </w:tc>
        <w:tc>
          <w:tcPr>
            <w:tcW w:w="3115" w:type="dxa"/>
            <w:vMerge w:val="continue"/>
            <w:tcBorders>
              <w:left w:val="single" w:color="auto" w:sz="4" w:space="0"/>
              <w:right w:val="single" w:color="auto" w:sz="4" w:space="0"/>
            </w:tcBorders>
            <w:vAlign w:val="center"/>
          </w:tcPr>
          <w:p w14:paraId="7E28FF6F">
            <w:pPr>
              <w:spacing w:line="360" w:lineRule="auto"/>
              <w:rPr>
                <w:rFonts w:hint="eastAsia" w:ascii="宋体" w:hAnsi="宋体" w:cs="宋体"/>
                <w:color w:val="auto"/>
                <w:szCs w:val="21"/>
              </w:rPr>
            </w:pPr>
          </w:p>
        </w:tc>
      </w:tr>
      <w:tr w14:paraId="59C6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62" w:type="dxa"/>
            <w:vMerge w:val="continue"/>
            <w:tcBorders>
              <w:left w:val="single" w:color="auto" w:sz="4" w:space="0"/>
              <w:right w:val="single" w:color="auto" w:sz="4" w:space="0"/>
            </w:tcBorders>
            <w:vAlign w:val="center"/>
          </w:tcPr>
          <w:p w14:paraId="2B6787C0">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6AFB0D9F">
            <w:pPr>
              <w:pStyle w:val="3"/>
              <w:spacing w:line="360" w:lineRule="auto"/>
              <w:rPr>
                <w:rFonts w:hint="eastAsia" w:hAnsi="宋体" w:cs="宋体"/>
                <w:color w:val="auto"/>
              </w:rPr>
            </w:pPr>
            <w:r>
              <w:rPr>
                <w:rFonts w:hint="eastAsia" w:hAnsi="宋体" w:cs="宋体"/>
                <w:color w:val="auto"/>
              </w:rPr>
              <w:t>国家级B类赛事三等奖</w:t>
            </w:r>
          </w:p>
        </w:tc>
        <w:tc>
          <w:tcPr>
            <w:tcW w:w="1019" w:type="dxa"/>
            <w:tcBorders>
              <w:top w:val="single" w:color="auto" w:sz="4" w:space="0"/>
              <w:left w:val="single" w:color="auto" w:sz="4" w:space="0"/>
              <w:bottom w:val="single" w:color="auto" w:sz="4" w:space="0"/>
              <w:right w:val="single" w:color="auto" w:sz="4" w:space="0"/>
            </w:tcBorders>
            <w:vAlign w:val="center"/>
          </w:tcPr>
          <w:p w14:paraId="3FD71AFD">
            <w:pPr>
              <w:spacing w:line="360" w:lineRule="auto"/>
              <w:jc w:val="center"/>
              <w:rPr>
                <w:rFonts w:hint="eastAsia" w:ascii="宋体" w:hAnsi="宋体" w:cs="宋体"/>
                <w:color w:val="auto"/>
                <w:szCs w:val="21"/>
              </w:rPr>
            </w:pPr>
            <w:r>
              <w:rPr>
                <w:rFonts w:hint="eastAsia" w:ascii="宋体" w:hAnsi="宋体" w:cs="宋体"/>
                <w:color w:val="auto"/>
                <w:szCs w:val="21"/>
              </w:rPr>
              <w:t>16</w:t>
            </w:r>
          </w:p>
        </w:tc>
        <w:tc>
          <w:tcPr>
            <w:tcW w:w="3115" w:type="dxa"/>
            <w:vMerge w:val="continue"/>
            <w:tcBorders>
              <w:left w:val="single" w:color="auto" w:sz="4" w:space="0"/>
              <w:right w:val="single" w:color="auto" w:sz="4" w:space="0"/>
            </w:tcBorders>
            <w:vAlign w:val="center"/>
          </w:tcPr>
          <w:p w14:paraId="66088C4C">
            <w:pPr>
              <w:spacing w:line="360" w:lineRule="auto"/>
              <w:rPr>
                <w:rFonts w:hint="eastAsia" w:ascii="宋体" w:hAnsi="宋体" w:cs="宋体"/>
                <w:color w:val="auto"/>
                <w:szCs w:val="21"/>
              </w:rPr>
            </w:pPr>
          </w:p>
        </w:tc>
      </w:tr>
      <w:tr w14:paraId="1B8C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462" w:type="dxa"/>
            <w:vMerge w:val="continue"/>
            <w:tcBorders>
              <w:left w:val="single" w:color="auto" w:sz="4" w:space="0"/>
              <w:right w:val="single" w:color="auto" w:sz="4" w:space="0"/>
            </w:tcBorders>
            <w:vAlign w:val="center"/>
          </w:tcPr>
          <w:p w14:paraId="437B4668">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3170190D">
            <w:pPr>
              <w:spacing w:line="360" w:lineRule="auto"/>
              <w:rPr>
                <w:rFonts w:hint="eastAsia" w:ascii="宋体" w:hAnsi="宋体" w:cs="宋体"/>
                <w:color w:val="auto"/>
                <w:szCs w:val="21"/>
              </w:rPr>
            </w:pPr>
            <w:r>
              <w:rPr>
                <w:rFonts w:hint="eastAsia" w:ascii="宋体" w:hAnsi="宋体" w:cs="宋体"/>
                <w:color w:val="auto"/>
                <w:szCs w:val="21"/>
              </w:rPr>
              <w:t>国家级C类赛事、上海市市级赛事一等奖</w:t>
            </w:r>
          </w:p>
        </w:tc>
        <w:tc>
          <w:tcPr>
            <w:tcW w:w="1019" w:type="dxa"/>
            <w:tcBorders>
              <w:top w:val="single" w:color="auto" w:sz="4" w:space="0"/>
              <w:left w:val="single" w:color="auto" w:sz="4" w:space="0"/>
              <w:bottom w:val="single" w:color="auto" w:sz="4" w:space="0"/>
              <w:right w:val="single" w:color="auto" w:sz="4" w:space="0"/>
            </w:tcBorders>
            <w:vAlign w:val="center"/>
          </w:tcPr>
          <w:p w14:paraId="1947A910">
            <w:pPr>
              <w:spacing w:line="360" w:lineRule="auto"/>
              <w:jc w:val="center"/>
              <w:rPr>
                <w:rFonts w:hint="eastAsia" w:ascii="宋体" w:hAnsi="宋体" w:cs="宋体"/>
                <w:color w:val="auto"/>
                <w:szCs w:val="21"/>
              </w:rPr>
            </w:pPr>
            <w:r>
              <w:rPr>
                <w:rFonts w:hint="eastAsia" w:ascii="宋体" w:hAnsi="宋体" w:cs="宋体"/>
                <w:color w:val="auto"/>
                <w:szCs w:val="21"/>
              </w:rPr>
              <w:t>15</w:t>
            </w:r>
          </w:p>
        </w:tc>
        <w:tc>
          <w:tcPr>
            <w:tcW w:w="3115" w:type="dxa"/>
            <w:vMerge w:val="continue"/>
            <w:tcBorders>
              <w:left w:val="single" w:color="auto" w:sz="4" w:space="0"/>
              <w:right w:val="single" w:color="auto" w:sz="4" w:space="0"/>
            </w:tcBorders>
            <w:vAlign w:val="center"/>
          </w:tcPr>
          <w:p w14:paraId="7626DDB8">
            <w:pPr>
              <w:spacing w:line="360" w:lineRule="auto"/>
              <w:rPr>
                <w:rFonts w:hint="eastAsia" w:ascii="宋体" w:hAnsi="宋体" w:cs="宋体"/>
                <w:color w:val="auto"/>
                <w:szCs w:val="21"/>
              </w:rPr>
            </w:pPr>
          </w:p>
        </w:tc>
      </w:tr>
      <w:tr w14:paraId="3AD3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462" w:type="dxa"/>
            <w:vMerge w:val="continue"/>
            <w:tcBorders>
              <w:left w:val="single" w:color="auto" w:sz="4" w:space="0"/>
              <w:right w:val="single" w:color="auto" w:sz="4" w:space="0"/>
            </w:tcBorders>
            <w:vAlign w:val="center"/>
          </w:tcPr>
          <w:p w14:paraId="6BA13A9B">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021C21CD">
            <w:pPr>
              <w:spacing w:line="360" w:lineRule="auto"/>
              <w:rPr>
                <w:rFonts w:hint="eastAsia" w:ascii="宋体" w:hAnsi="宋体" w:cs="宋体"/>
                <w:color w:val="auto"/>
                <w:szCs w:val="21"/>
              </w:rPr>
            </w:pPr>
            <w:r>
              <w:rPr>
                <w:rFonts w:hint="eastAsia" w:ascii="宋体" w:hAnsi="宋体" w:cs="宋体"/>
                <w:color w:val="auto"/>
                <w:szCs w:val="21"/>
              </w:rPr>
              <w:t>国家级C类赛事、上海市市级赛事二等奖</w:t>
            </w:r>
          </w:p>
        </w:tc>
        <w:tc>
          <w:tcPr>
            <w:tcW w:w="1019" w:type="dxa"/>
            <w:tcBorders>
              <w:top w:val="single" w:color="auto" w:sz="4" w:space="0"/>
              <w:left w:val="single" w:color="auto" w:sz="4" w:space="0"/>
              <w:bottom w:val="single" w:color="auto" w:sz="4" w:space="0"/>
              <w:right w:val="single" w:color="auto" w:sz="4" w:space="0"/>
            </w:tcBorders>
            <w:vAlign w:val="center"/>
          </w:tcPr>
          <w:p w14:paraId="583B5900">
            <w:pPr>
              <w:spacing w:line="360" w:lineRule="auto"/>
              <w:jc w:val="center"/>
              <w:rPr>
                <w:rFonts w:hint="eastAsia" w:ascii="宋体" w:hAnsi="宋体" w:cs="宋体"/>
                <w:color w:val="auto"/>
                <w:szCs w:val="21"/>
              </w:rPr>
            </w:pPr>
            <w:r>
              <w:rPr>
                <w:rFonts w:hint="eastAsia" w:ascii="宋体" w:hAnsi="宋体" w:cs="宋体"/>
                <w:color w:val="auto"/>
                <w:szCs w:val="21"/>
              </w:rPr>
              <w:t>13</w:t>
            </w:r>
          </w:p>
        </w:tc>
        <w:tc>
          <w:tcPr>
            <w:tcW w:w="3115" w:type="dxa"/>
            <w:vMerge w:val="continue"/>
            <w:tcBorders>
              <w:left w:val="single" w:color="auto" w:sz="4" w:space="0"/>
              <w:right w:val="single" w:color="auto" w:sz="4" w:space="0"/>
            </w:tcBorders>
            <w:vAlign w:val="center"/>
          </w:tcPr>
          <w:p w14:paraId="6FEBBBF7">
            <w:pPr>
              <w:spacing w:line="360" w:lineRule="auto"/>
              <w:rPr>
                <w:rFonts w:hint="eastAsia" w:ascii="宋体" w:hAnsi="宋体" w:cs="宋体"/>
                <w:color w:val="auto"/>
                <w:szCs w:val="21"/>
              </w:rPr>
            </w:pPr>
          </w:p>
        </w:tc>
      </w:tr>
      <w:tr w14:paraId="2B94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2" w:type="dxa"/>
            <w:vMerge w:val="continue"/>
            <w:tcBorders>
              <w:left w:val="single" w:color="auto" w:sz="4" w:space="0"/>
              <w:right w:val="single" w:color="auto" w:sz="4" w:space="0"/>
            </w:tcBorders>
            <w:vAlign w:val="center"/>
          </w:tcPr>
          <w:p w14:paraId="5ED093DC">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5DD974FF">
            <w:pPr>
              <w:spacing w:line="360" w:lineRule="auto"/>
              <w:rPr>
                <w:rFonts w:hint="eastAsia" w:ascii="宋体" w:hAnsi="宋体" w:cs="宋体"/>
                <w:color w:val="auto"/>
                <w:szCs w:val="21"/>
              </w:rPr>
            </w:pPr>
            <w:r>
              <w:rPr>
                <w:rFonts w:hint="eastAsia" w:ascii="宋体" w:hAnsi="宋体" w:cs="宋体"/>
                <w:color w:val="auto"/>
                <w:szCs w:val="21"/>
              </w:rPr>
              <w:t>国家级C类赛事、上海市市级赛事三等奖</w:t>
            </w:r>
          </w:p>
        </w:tc>
        <w:tc>
          <w:tcPr>
            <w:tcW w:w="1019" w:type="dxa"/>
            <w:tcBorders>
              <w:top w:val="single" w:color="auto" w:sz="4" w:space="0"/>
              <w:left w:val="single" w:color="auto" w:sz="4" w:space="0"/>
              <w:bottom w:val="single" w:color="auto" w:sz="4" w:space="0"/>
              <w:right w:val="single" w:color="auto" w:sz="4" w:space="0"/>
            </w:tcBorders>
            <w:vAlign w:val="center"/>
          </w:tcPr>
          <w:p w14:paraId="4E27B335">
            <w:pPr>
              <w:spacing w:line="360" w:lineRule="auto"/>
              <w:jc w:val="center"/>
              <w:rPr>
                <w:rFonts w:hint="eastAsia" w:ascii="宋体" w:hAnsi="宋体" w:cs="宋体"/>
                <w:color w:val="auto"/>
                <w:szCs w:val="21"/>
              </w:rPr>
            </w:pPr>
            <w:r>
              <w:rPr>
                <w:rFonts w:hint="eastAsia" w:ascii="宋体" w:hAnsi="宋体" w:cs="宋体"/>
                <w:color w:val="auto"/>
                <w:szCs w:val="21"/>
              </w:rPr>
              <w:t>11</w:t>
            </w:r>
          </w:p>
        </w:tc>
        <w:tc>
          <w:tcPr>
            <w:tcW w:w="3115" w:type="dxa"/>
            <w:vMerge w:val="continue"/>
            <w:tcBorders>
              <w:left w:val="single" w:color="auto" w:sz="4" w:space="0"/>
              <w:right w:val="single" w:color="auto" w:sz="4" w:space="0"/>
            </w:tcBorders>
            <w:vAlign w:val="center"/>
          </w:tcPr>
          <w:p w14:paraId="6031A8B6">
            <w:pPr>
              <w:spacing w:line="360" w:lineRule="auto"/>
              <w:rPr>
                <w:rFonts w:hint="eastAsia" w:ascii="宋体" w:hAnsi="宋体" w:cs="宋体"/>
                <w:color w:val="auto"/>
                <w:szCs w:val="21"/>
              </w:rPr>
            </w:pPr>
          </w:p>
        </w:tc>
      </w:tr>
      <w:tr w14:paraId="5AC8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2" w:type="dxa"/>
            <w:vMerge w:val="continue"/>
            <w:tcBorders>
              <w:left w:val="single" w:color="auto" w:sz="4" w:space="0"/>
              <w:right w:val="single" w:color="auto" w:sz="4" w:space="0"/>
            </w:tcBorders>
            <w:vAlign w:val="center"/>
          </w:tcPr>
          <w:p w14:paraId="1AAAF85E">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6B7514E6">
            <w:pPr>
              <w:spacing w:line="360" w:lineRule="auto"/>
              <w:rPr>
                <w:rFonts w:hint="eastAsia" w:ascii="宋体" w:hAnsi="宋体" w:cs="宋体"/>
                <w:color w:val="auto"/>
                <w:szCs w:val="21"/>
              </w:rPr>
            </w:pPr>
            <w:r>
              <w:rPr>
                <w:rFonts w:hint="eastAsia" w:ascii="宋体" w:hAnsi="宋体" w:cs="宋体"/>
                <w:color w:val="auto"/>
                <w:szCs w:val="21"/>
              </w:rPr>
              <w:t>上海海洋大学校级赛事一等奖</w:t>
            </w:r>
          </w:p>
        </w:tc>
        <w:tc>
          <w:tcPr>
            <w:tcW w:w="1019" w:type="dxa"/>
            <w:tcBorders>
              <w:top w:val="single" w:color="auto" w:sz="4" w:space="0"/>
              <w:left w:val="single" w:color="auto" w:sz="4" w:space="0"/>
              <w:bottom w:val="single" w:color="auto" w:sz="4" w:space="0"/>
              <w:right w:val="single" w:color="auto" w:sz="4" w:space="0"/>
            </w:tcBorders>
            <w:vAlign w:val="center"/>
          </w:tcPr>
          <w:p w14:paraId="091DC42B">
            <w:pPr>
              <w:spacing w:line="360" w:lineRule="auto"/>
              <w:jc w:val="center"/>
              <w:rPr>
                <w:rFonts w:hint="eastAsia" w:ascii="宋体" w:hAnsi="宋体" w:cs="宋体"/>
                <w:color w:val="auto"/>
                <w:szCs w:val="21"/>
              </w:rPr>
            </w:pPr>
            <w:r>
              <w:rPr>
                <w:rFonts w:hint="eastAsia" w:ascii="宋体" w:hAnsi="宋体" w:cs="宋体"/>
                <w:color w:val="auto"/>
                <w:szCs w:val="21"/>
              </w:rPr>
              <w:t>6</w:t>
            </w:r>
          </w:p>
        </w:tc>
        <w:tc>
          <w:tcPr>
            <w:tcW w:w="3115" w:type="dxa"/>
            <w:vMerge w:val="continue"/>
            <w:tcBorders>
              <w:left w:val="single" w:color="auto" w:sz="4" w:space="0"/>
              <w:right w:val="single" w:color="auto" w:sz="4" w:space="0"/>
            </w:tcBorders>
            <w:vAlign w:val="center"/>
          </w:tcPr>
          <w:p w14:paraId="57594FF9">
            <w:pPr>
              <w:spacing w:line="360" w:lineRule="auto"/>
              <w:rPr>
                <w:rFonts w:hint="eastAsia" w:ascii="宋体" w:hAnsi="宋体" w:cs="宋体"/>
                <w:color w:val="auto"/>
                <w:szCs w:val="21"/>
              </w:rPr>
            </w:pPr>
          </w:p>
        </w:tc>
      </w:tr>
      <w:tr w14:paraId="3E8F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462" w:type="dxa"/>
            <w:vMerge w:val="continue"/>
            <w:tcBorders>
              <w:left w:val="single" w:color="auto" w:sz="4" w:space="0"/>
              <w:right w:val="single" w:color="auto" w:sz="4" w:space="0"/>
            </w:tcBorders>
            <w:vAlign w:val="center"/>
          </w:tcPr>
          <w:p w14:paraId="0B150DFD">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54161CD3">
            <w:pPr>
              <w:spacing w:line="360" w:lineRule="auto"/>
              <w:rPr>
                <w:rFonts w:hint="eastAsia" w:ascii="宋体" w:hAnsi="宋体" w:cs="宋体"/>
                <w:color w:val="auto"/>
                <w:szCs w:val="21"/>
              </w:rPr>
            </w:pPr>
            <w:r>
              <w:rPr>
                <w:rFonts w:hint="eastAsia" w:ascii="宋体" w:hAnsi="宋体" w:cs="宋体"/>
                <w:color w:val="auto"/>
                <w:szCs w:val="21"/>
              </w:rPr>
              <w:t>上海海洋大学校级赛事二等奖</w:t>
            </w:r>
          </w:p>
        </w:tc>
        <w:tc>
          <w:tcPr>
            <w:tcW w:w="1019" w:type="dxa"/>
            <w:tcBorders>
              <w:top w:val="single" w:color="auto" w:sz="4" w:space="0"/>
              <w:left w:val="single" w:color="auto" w:sz="4" w:space="0"/>
              <w:bottom w:val="single" w:color="auto" w:sz="4" w:space="0"/>
              <w:right w:val="single" w:color="auto" w:sz="4" w:space="0"/>
            </w:tcBorders>
            <w:vAlign w:val="center"/>
          </w:tcPr>
          <w:p w14:paraId="603BC2BF">
            <w:pPr>
              <w:spacing w:line="360" w:lineRule="auto"/>
              <w:jc w:val="center"/>
              <w:rPr>
                <w:rFonts w:hint="eastAsia" w:ascii="宋体" w:hAnsi="宋体" w:cs="宋体"/>
                <w:color w:val="auto"/>
                <w:szCs w:val="21"/>
              </w:rPr>
            </w:pPr>
            <w:r>
              <w:rPr>
                <w:rFonts w:hint="eastAsia" w:ascii="宋体" w:hAnsi="宋体" w:cs="宋体"/>
                <w:color w:val="auto"/>
                <w:szCs w:val="21"/>
              </w:rPr>
              <w:t>5</w:t>
            </w:r>
          </w:p>
        </w:tc>
        <w:tc>
          <w:tcPr>
            <w:tcW w:w="3115" w:type="dxa"/>
            <w:vMerge w:val="continue"/>
            <w:tcBorders>
              <w:left w:val="single" w:color="auto" w:sz="4" w:space="0"/>
              <w:right w:val="single" w:color="auto" w:sz="4" w:space="0"/>
            </w:tcBorders>
            <w:vAlign w:val="center"/>
          </w:tcPr>
          <w:p w14:paraId="03AEF70E">
            <w:pPr>
              <w:spacing w:line="360" w:lineRule="auto"/>
              <w:rPr>
                <w:rFonts w:hint="eastAsia" w:ascii="宋体" w:hAnsi="宋体" w:cs="宋体"/>
                <w:color w:val="auto"/>
                <w:szCs w:val="21"/>
              </w:rPr>
            </w:pPr>
          </w:p>
        </w:tc>
      </w:tr>
      <w:tr w14:paraId="0EF3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462" w:type="dxa"/>
            <w:vMerge w:val="continue"/>
            <w:tcBorders>
              <w:left w:val="single" w:color="auto" w:sz="4" w:space="0"/>
              <w:right w:val="single" w:color="auto" w:sz="4" w:space="0"/>
            </w:tcBorders>
            <w:vAlign w:val="center"/>
          </w:tcPr>
          <w:p w14:paraId="11D12088">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2EA8CAEB">
            <w:pPr>
              <w:spacing w:line="360" w:lineRule="auto"/>
              <w:rPr>
                <w:rFonts w:hint="eastAsia" w:ascii="宋体" w:hAnsi="宋体" w:cs="宋体"/>
                <w:color w:val="auto"/>
                <w:szCs w:val="21"/>
              </w:rPr>
            </w:pPr>
            <w:r>
              <w:rPr>
                <w:rFonts w:hint="eastAsia" w:ascii="宋体" w:hAnsi="宋体" w:cs="宋体"/>
                <w:color w:val="auto"/>
                <w:szCs w:val="21"/>
              </w:rPr>
              <w:t>上海海洋大学校级赛事三等奖</w:t>
            </w:r>
          </w:p>
        </w:tc>
        <w:tc>
          <w:tcPr>
            <w:tcW w:w="1019" w:type="dxa"/>
            <w:tcBorders>
              <w:top w:val="single" w:color="auto" w:sz="4" w:space="0"/>
              <w:left w:val="single" w:color="auto" w:sz="4" w:space="0"/>
              <w:bottom w:val="single" w:color="auto" w:sz="4" w:space="0"/>
              <w:right w:val="single" w:color="auto" w:sz="4" w:space="0"/>
            </w:tcBorders>
            <w:vAlign w:val="center"/>
          </w:tcPr>
          <w:p w14:paraId="17C0A836">
            <w:pPr>
              <w:spacing w:line="360" w:lineRule="auto"/>
              <w:jc w:val="center"/>
              <w:rPr>
                <w:rFonts w:hint="eastAsia" w:ascii="宋体" w:hAnsi="宋体" w:cs="宋体"/>
                <w:color w:val="auto"/>
                <w:szCs w:val="21"/>
              </w:rPr>
            </w:pPr>
            <w:r>
              <w:rPr>
                <w:rFonts w:hint="eastAsia" w:ascii="宋体" w:hAnsi="宋体" w:cs="宋体"/>
                <w:color w:val="auto"/>
                <w:szCs w:val="21"/>
              </w:rPr>
              <w:t>4</w:t>
            </w:r>
          </w:p>
        </w:tc>
        <w:tc>
          <w:tcPr>
            <w:tcW w:w="3115" w:type="dxa"/>
            <w:vMerge w:val="continue"/>
            <w:tcBorders>
              <w:left w:val="single" w:color="auto" w:sz="4" w:space="0"/>
              <w:right w:val="single" w:color="auto" w:sz="4" w:space="0"/>
            </w:tcBorders>
            <w:vAlign w:val="center"/>
          </w:tcPr>
          <w:p w14:paraId="009E795A">
            <w:pPr>
              <w:spacing w:line="360" w:lineRule="auto"/>
              <w:rPr>
                <w:rFonts w:hint="eastAsia" w:ascii="宋体" w:hAnsi="宋体" w:cs="宋体"/>
                <w:color w:val="auto"/>
                <w:szCs w:val="21"/>
              </w:rPr>
            </w:pPr>
          </w:p>
        </w:tc>
      </w:tr>
      <w:tr w14:paraId="723C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462" w:type="dxa"/>
            <w:vMerge w:val="continue"/>
            <w:tcBorders>
              <w:left w:val="single" w:color="auto" w:sz="4" w:space="0"/>
              <w:right w:val="single" w:color="auto" w:sz="4" w:space="0"/>
            </w:tcBorders>
            <w:vAlign w:val="center"/>
          </w:tcPr>
          <w:p w14:paraId="5395C147">
            <w:pPr>
              <w:spacing w:line="360" w:lineRule="auto"/>
              <w:jc w:val="center"/>
              <w:rPr>
                <w:rFonts w:hint="eastAsia" w:ascii="宋体" w:hAnsi="宋体" w:cs="宋体"/>
                <w:color w:val="auto"/>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1B307B48">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highlight w:val="none"/>
              </w:rPr>
              <w:t>成功</w:t>
            </w:r>
            <w:r>
              <w:rPr>
                <w:rFonts w:hint="eastAsia" w:ascii="宋体" w:hAnsi="宋体" w:cs="宋体"/>
                <w:color w:val="auto"/>
                <w:szCs w:val="21"/>
                <w:highlight w:val="none"/>
                <w:lang w:val="en-US" w:eastAsia="zh-CN"/>
              </w:rPr>
              <w:t>报名</w:t>
            </w:r>
            <w:r>
              <w:rPr>
                <w:rFonts w:hint="eastAsia" w:ascii="宋体" w:hAnsi="宋体" w:cs="宋体"/>
                <w:color w:val="auto"/>
                <w:szCs w:val="21"/>
                <w:highlight w:val="none"/>
              </w:rPr>
              <w:t>参加上海海洋大学校级及以上赛事</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其中至少1次“中国国际大学生创新创业大赛”</w:t>
            </w:r>
            <w:r>
              <w:rPr>
                <w:rFonts w:hint="eastAsia" w:ascii="宋体" w:hAnsi="宋体" w:cs="宋体"/>
                <w:color w:val="auto"/>
                <w:szCs w:val="21"/>
                <w:highlight w:val="none"/>
                <w:lang w:eastAsia="zh-CN"/>
              </w:rPr>
              <w:t>）</w:t>
            </w:r>
          </w:p>
        </w:tc>
        <w:tc>
          <w:tcPr>
            <w:tcW w:w="1019" w:type="dxa"/>
            <w:tcBorders>
              <w:top w:val="single" w:color="auto" w:sz="4" w:space="0"/>
              <w:left w:val="single" w:color="auto" w:sz="4" w:space="0"/>
              <w:bottom w:val="single" w:color="auto" w:sz="4" w:space="0"/>
              <w:right w:val="single" w:color="auto" w:sz="4" w:space="0"/>
            </w:tcBorders>
            <w:vAlign w:val="center"/>
          </w:tcPr>
          <w:p w14:paraId="7CCBB3E5">
            <w:pPr>
              <w:spacing w:line="360" w:lineRule="auto"/>
              <w:jc w:val="center"/>
              <w:rPr>
                <w:rFonts w:hint="eastAsia" w:ascii="宋体" w:hAnsi="宋体" w:cs="宋体"/>
                <w:color w:val="auto"/>
                <w:szCs w:val="21"/>
              </w:rPr>
            </w:pPr>
            <w:r>
              <w:rPr>
                <w:rFonts w:hint="eastAsia" w:ascii="宋体" w:hAnsi="宋体" w:cs="宋体"/>
                <w:color w:val="auto"/>
                <w:szCs w:val="21"/>
              </w:rPr>
              <w:t>0.2/次</w:t>
            </w:r>
          </w:p>
        </w:tc>
        <w:tc>
          <w:tcPr>
            <w:tcW w:w="3115" w:type="dxa"/>
            <w:vMerge w:val="continue"/>
            <w:tcBorders>
              <w:left w:val="single" w:color="auto" w:sz="4" w:space="0"/>
              <w:bottom w:val="single" w:color="auto" w:sz="4" w:space="0"/>
              <w:right w:val="single" w:color="auto" w:sz="4" w:space="0"/>
            </w:tcBorders>
            <w:vAlign w:val="center"/>
          </w:tcPr>
          <w:p w14:paraId="226AB6BE">
            <w:pPr>
              <w:spacing w:line="360" w:lineRule="auto"/>
              <w:rPr>
                <w:rFonts w:hint="eastAsia" w:ascii="宋体" w:hAnsi="宋体" w:cs="宋体"/>
                <w:color w:val="auto"/>
                <w:szCs w:val="21"/>
              </w:rPr>
            </w:pPr>
          </w:p>
        </w:tc>
      </w:tr>
      <w:tr w14:paraId="5645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restart"/>
            <w:tcBorders>
              <w:top w:val="single" w:color="auto" w:sz="4" w:space="0"/>
              <w:left w:val="single" w:color="auto" w:sz="4" w:space="0"/>
              <w:right w:val="single" w:color="auto" w:sz="4" w:space="0"/>
            </w:tcBorders>
            <w:vAlign w:val="center"/>
          </w:tcPr>
          <w:p w14:paraId="6619045C">
            <w:pPr>
              <w:spacing w:line="360" w:lineRule="auto"/>
              <w:rPr>
                <w:rFonts w:hint="eastAsia" w:ascii="宋体" w:hAnsi="宋体" w:cs="宋体"/>
                <w:color w:val="auto"/>
                <w:szCs w:val="21"/>
              </w:rPr>
            </w:pPr>
            <w:r>
              <w:rPr>
                <w:rFonts w:hint="eastAsia" w:ascii="宋体" w:hAnsi="宋体" w:cs="宋体"/>
                <w:color w:val="auto"/>
                <w:szCs w:val="21"/>
              </w:rPr>
              <w:t>研究论文</w:t>
            </w:r>
          </w:p>
        </w:tc>
        <w:tc>
          <w:tcPr>
            <w:tcW w:w="3923" w:type="dxa"/>
            <w:tcBorders>
              <w:top w:val="single" w:color="auto" w:sz="4" w:space="0"/>
              <w:left w:val="single" w:color="auto" w:sz="4" w:space="0"/>
              <w:right w:val="single" w:color="auto" w:sz="4" w:space="0"/>
            </w:tcBorders>
            <w:vAlign w:val="center"/>
          </w:tcPr>
          <w:p w14:paraId="63DE56A7">
            <w:pPr>
              <w:spacing w:line="360" w:lineRule="auto"/>
              <w:jc w:val="left"/>
              <w:rPr>
                <w:rFonts w:hint="eastAsia" w:ascii="宋体" w:hAnsi="宋体" w:cs="宋体"/>
                <w:color w:val="auto"/>
                <w:szCs w:val="21"/>
              </w:rPr>
            </w:pPr>
            <w:r>
              <w:rPr>
                <w:rFonts w:hint="eastAsia" w:ascii="宋体" w:hAnsi="宋体" w:cs="宋体"/>
                <w:color w:val="auto"/>
                <w:szCs w:val="21"/>
              </w:rPr>
              <w:t>A+类期刊</w:t>
            </w:r>
          </w:p>
        </w:tc>
        <w:tc>
          <w:tcPr>
            <w:tcW w:w="1019" w:type="dxa"/>
            <w:tcBorders>
              <w:top w:val="single" w:color="auto" w:sz="4" w:space="0"/>
              <w:left w:val="single" w:color="auto" w:sz="4" w:space="0"/>
              <w:right w:val="single" w:color="auto" w:sz="4" w:space="0"/>
            </w:tcBorders>
            <w:vAlign w:val="center"/>
          </w:tcPr>
          <w:p w14:paraId="07AB0BA8">
            <w:pPr>
              <w:spacing w:line="360" w:lineRule="auto"/>
              <w:jc w:val="center"/>
              <w:rPr>
                <w:rFonts w:hint="eastAsia" w:ascii="宋体" w:hAnsi="宋体" w:cs="宋体"/>
                <w:color w:val="auto"/>
                <w:szCs w:val="21"/>
              </w:rPr>
            </w:pPr>
            <w:r>
              <w:rPr>
                <w:rFonts w:hint="eastAsia" w:ascii="宋体" w:hAnsi="宋体" w:cs="宋体"/>
                <w:color w:val="auto"/>
                <w:szCs w:val="21"/>
              </w:rPr>
              <w:t>100</w:t>
            </w:r>
          </w:p>
        </w:tc>
        <w:tc>
          <w:tcPr>
            <w:tcW w:w="3115" w:type="dxa"/>
            <w:vMerge w:val="restart"/>
            <w:tcBorders>
              <w:left w:val="single" w:color="auto" w:sz="4" w:space="0"/>
              <w:right w:val="single" w:color="auto" w:sz="4" w:space="0"/>
            </w:tcBorders>
            <w:vAlign w:val="center"/>
          </w:tcPr>
          <w:p w14:paraId="154DC63A">
            <w:pPr>
              <w:spacing w:line="360" w:lineRule="auto"/>
              <w:ind w:left="-2" w:leftChars="-1"/>
              <w:rPr>
                <w:rFonts w:hint="eastAsia" w:ascii="宋体" w:hAnsi="宋体" w:cs="宋体"/>
                <w:color w:val="auto"/>
                <w:szCs w:val="21"/>
                <w:highlight w:val="none"/>
              </w:rPr>
            </w:pPr>
            <w:r>
              <w:rPr>
                <w:rFonts w:hint="eastAsia" w:ascii="宋体" w:hAnsi="宋体" w:cs="宋体"/>
                <w:color w:val="auto"/>
                <w:szCs w:val="21"/>
                <w:highlight w:val="none"/>
              </w:rPr>
              <w:t>1.期刊分类按照《关于印发</w:t>
            </w:r>
            <w:r>
              <w:rPr>
                <w:rFonts w:ascii="Arial" w:hAnsi="Arial" w:cs="Arial"/>
                <w:color w:val="auto"/>
                <w:sz w:val="19"/>
                <w:szCs w:val="19"/>
                <w:highlight w:val="none"/>
                <w:shd w:val="clear" w:color="auto" w:fill="FFFFFF"/>
              </w:rPr>
              <w:t>〈</w:t>
            </w:r>
            <w:r>
              <w:rPr>
                <w:rFonts w:hint="eastAsia" w:ascii="宋体" w:hAnsi="宋体" w:cs="宋体"/>
                <w:color w:val="auto"/>
                <w:szCs w:val="21"/>
                <w:highlight w:val="none"/>
              </w:rPr>
              <w:t>上海海洋大学经济管理学院学术期刊分类目录（试行）</w:t>
            </w:r>
            <w:r>
              <w:rPr>
                <w:rFonts w:ascii="Arial" w:hAnsi="Arial" w:cs="Arial"/>
                <w:color w:val="auto"/>
                <w:sz w:val="19"/>
                <w:szCs w:val="19"/>
                <w:highlight w:val="none"/>
                <w:shd w:val="clear" w:color="auto" w:fill="FFFFFF"/>
              </w:rPr>
              <w:t>〉</w:t>
            </w:r>
            <w:r>
              <w:rPr>
                <w:rFonts w:hint="eastAsia" w:ascii="宋体" w:hAnsi="宋体" w:cs="宋体"/>
                <w:color w:val="auto"/>
                <w:szCs w:val="21"/>
                <w:highlight w:val="none"/>
              </w:rPr>
              <w:t>的通知》（沪海洋经〔2025〕4 号）执行。</w:t>
            </w:r>
          </w:p>
          <w:p w14:paraId="2B8FDC42">
            <w:pPr>
              <w:spacing w:line="360" w:lineRule="auto"/>
              <w:ind w:left="-2" w:leftChars="-1"/>
              <w:rPr>
                <w:rFonts w:hint="eastAsia" w:ascii="宋体" w:hAnsi="宋体" w:cs="宋体"/>
                <w:color w:val="auto"/>
                <w:szCs w:val="21"/>
              </w:rPr>
            </w:pPr>
            <w:r>
              <w:rPr>
                <w:rFonts w:hint="eastAsia" w:ascii="宋体" w:hAnsi="宋体" w:cs="宋体"/>
                <w:color w:val="auto"/>
                <w:szCs w:val="21"/>
              </w:rPr>
              <w:t>2.文章原则上需见刊，未见刊的需要网络首发或者</w:t>
            </w:r>
            <w:r>
              <w:rPr>
                <w:color w:val="auto"/>
              </w:rPr>
              <w:fldChar w:fldCharType="begin"/>
            </w:r>
            <w:r>
              <w:rPr>
                <w:color w:val="auto"/>
              </w:rPr>
              <w:instrText xml:space="preserve"> HYPERLINK "http://202.121.66.120:808/url_xd.asp?cid=16&amp;typeid=9062&amp;link=http%3a%2f%2fe-resource.shou.edu.cn%2flogin%3furl%3dhttp%3a%2f%2fwww.webofknowledge.com%2f" \t "_blank" \o "Web of Science" </w:instrText>
            </w:r>
            <w:r>
              <w:rPr>
                <w:color w:val="auto"/>
              </w:rPr>
              <w:fldChar w:fldCharType="separate"/>
            </w:r>
            <w:r>
              <w:rPr>
                <w:rFonts w:hint="eastAsia" w:ascii="宋体" w:hAnsi="宋体" w:cs="宋体"/>
                <w:color w:val="auto"/>
                <w:szCs w:val="21"/>
              </w:rPr>
              <w:t>Web of Science</w:t>
            </w:r>
            <w:r>
              <w:rPr>
                <w:rFonts w:hint="eastAsia" w:ascii="宋体" w:hAnsi="宋体" w:cs="宋体"/>
                <w:color w:val="auto"/>
                <w:szCs w:val="21"/>
              </w:rPr>
              <w:fldChar w:fldCharType="end"/>
            </w:r>
            <w:r>
              <w:rPr>
                <w:rFonts w:hint="eastAsia" w:ascii="宋体" w:hAnsi="宋体" w:cs="宋体"/>
                <w:color w:val="auto"/>
                <w:szCs w:val="21"/>
              </w:rPr>
              <w:t xml:space="preserve">数据库可查询，检索结果须加附本校图书馆有效检索证明，验原件，交复印件； </w:t>
            </w:r>
          </w:p>
          <w:p w14:paraId="7490E276">
            <w:pPr>
              <w:spacing w:line="360" w:lineRule="auto"/>
              <w:ind w:left="-2" w:leftChars="-1"/>
              <w:rPr>
                <w:rFonts w:hint="eastAsia" w:ascii="宋体" w:hAnsi="宋体" w:cs="宋体"/>
                <w:color w:val="auto"/>
                <w:szCs w:val="21"/>
              </w:rPr>
            </w:pPr>
            <w:r>
              <w:rPr>
                <w:rFonts w:hint="eastAsia" w:ascii="宋体" w:hAnsi="宋体" w:cs="宋体"/>
                <w:color w:val="auto"/>
                <w:szCs w:val="21"/>
              </w:rPr>
              <w:t>3. 以第一作者或第二作者且导师为第一作者发表在公开发行刊物（有ISSN号）的论文有效；增刊、专刊无效；正式发表的论文有效，收录证明无效；</w:t>
            </w:r>
          </w:p>
          <w:p w14:paraId="2590CA65">
            <w:pPr>
              <w:rPr>
                <w:rFonts w:hint="eastAsia" w:ascii="宋体" w:hAnsi="宋体" w:cs="宋体"/>
                <w:color w:val="auto"/>
                <w:szCs w:val="21"/>
              </w:rPr>
            </w:pPr>
            <w:r>
              <w:rPr>
                <w:rFonts w:hint="eastAsia" w:ascii="宋体" w:hAnsi="宋体" w:cs="宋体"/>
                <w:color w:val="auto"/>
                <w:szCs w:val="21"/>
              </w:rPr>
              <w:t>4.上述分类中存在交叉的，就高认定。</w:t>
            </w:r>
          </w:p>
          <w:p w14:paraId="395D5E31">
            <w:pPr>
              <w:spacing w:line="360" w:lineRule="auto"/>
              <w:jc w:val="left"/>
              <w:rPr>
                <w:rFonts w:hint="eastAsia" w:ascii="宋体" w:hAnsi="宋体" w:cs="宋体"/>
                <w:color w:val="auto"/>
                <w:szCs w:val="21"/>
              </w:rPr>
            </w:pPr>
          </w:p>
          <w:p w14:paraId="1E146F14">
            <w:pPr>
              <w:spacing w:line="360" w:lineRule="auto"/>
              <w:jc w:val="left"/>
              <w:rPr>
                <w:rFonts w:hint="eastAsia" w:ascii="宋体" w:hAnsi="宋体" w:cs="宋体"/>
                <w:color w:val="auto"/>
                <w:szCs w:val="21"/>
              </w:rPr>
            </w:pPr>
          </w:p>
        </w:tc>
      </w:tr>
      <w:tr w14:paraId="59F0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2AC0CFAA">
            <w:pPr>
              <w:spacing w:line="360" w:lineRule="auto"/>
              <w:jc w:val="left"/>
              <w:rPr>
                <w:color w:val="auto"/>
              </w:rPr>
            </w:pPr>
          </w:p>
        </w:tc>
        <w:tc>
          <w:tcPr>
            <w:tcW w:w="3923" w:type="dxa"/>
            <w:tcBorders>
              <w:top w:val="single" w:color="auto" w:sz="4" w:space="0"/>
              <w:left w:val="single" w:color="auto" w:sz="4" w:space="0"/>
              <w:right w:val="single" w:color="auto" w:sz="4" w:space="0"/>
            </w:tcBorders>
            <w:vAlign w:val="center"/>
          </w:tcPr>
          <w:p w14:paraId="2CE5EB81">
            <w:pPr>
              <w:spacing w:line="360" w:lineRule="auto"/>
              <w:jc w:val="left"/>
              <w:rPr>
                <w:rFonts w:hint="eastAsia" w:ascii="宋体" w:hAnsi="宋体" w:cs="宋体"/>
                <w:color w:val="auto"/>
                <w:szCs w:val="21"/>
              </w:rPr>
            </w:pPr>
            <w:r>
              <w:rPr>
                <w:rFonts w:hint="eastAsia" w:ascii="宋体" w:hAnsi="宋体" w:cs="宋体"/>
                <w:color w:val="auto"/>
                <w:szCs w:val="21"/>
              </w:rPr>
              <w:t>A类期刊</w:t>
            </w:r>
          </w:p>
        </w:tc>
        <w:tc>
          <w:tcPr>
            <w:tcW w:w="1019" w:type="dxa"/>
            <w:tcBorders>
              <w:left w:val="single" w:color="auto" w:sz="4" w:space="0"/>
              <w:right w:val="single" w:color="auto" w:sz="4" w:space="0"/>
            </w:tcBorders>
            <w:vAlign w:val="center"/>
          </w:tcPr>
          <w:p w14:paraId="29D557C6">
            <w:pPr>
              <w:spacing w:line="360" w:lineRule="auto"/>
              <w:jc w:val="center"/>
              <w:rPr>
                <w:rFonts w:hint="eastAsia" w:ascii="宋体" w:hAnsi="宋体" w:cs="宋体"/>
                <w:color w:val="auto"/>
                <w:szCs w:val="21"/>
              </w:rPr>
            </w:pPr>
            <w:r>
              <w:rPr>
                <w:rFonts w:hint="eastAsia" w:ascii="宋体" w:hAnsi="宋体" w:cs="宋体"/>
                <w:color w:val="auto"/>
                <w:szCs w:val="21"/>
              </w:rPr>
              <w:t>70</w:t>
            </w:r>
          </w:p>
        </w:tc>
        <w:tc>
          <w:tcPr>
            <w:tcW w:w="3115" w:type="dxa"/>
            <w:vMerge w:val="continue"/>
            <w:tcBorders>
              <w:left w:val="single" w:color="auto" w:sz="4" w:space="0"/>
              <w:right w:val="single" w:color="auto" w:sz="4" w:space="0"/>
            </w:tcBorders>
            <w:vAlign w:val="center"/>
          </w:tcPr>
          <w:p w14:paraId="37FE13D3">
            <w:pPr>
              <w:spacing w:line="360" w:lineRule="auto"/>
              <w:jc w:val="left"/>
              <w:rPr>
                <w:rFonts w:hint="eastAsia" w:ascii="宋体" w:hAnsi="宋体" w:cs="宋体"/>
                <w:color w:val="auto"/>
                <w:szCs w:val="21"/>
              </w:rPr>
            </w:pPr>
          </w:p>
        </w:tc>
      </w:tr>
      <w:tr w14:paraId="3DFA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4DC80F52">
            <w:pPr>
              <w:spacing w:line="360" w:lineRule="auto"/>
              <w:jc w:val="left"/>
              <w:rPr>
                <w:color w:val="auto"/>
              </w:rPr>
            </w:pPr>
          </w:p>
        </w:tc>
        <w:tc>
          <w:tcPr>
            <w:tcW w:w="3923" w:type="dxa"/>
            <w:tcBorders>
              <w:top w:val="single" w:color="auto" w:sz="4" w:space="0"/>
              <w:left w:val="single" w:color="auto" w:sz="4" w:space="0"/>
              <w:right w:val="single" w:color="auto" w:sz="4" w:space="0"/>
            </w:tcBorders>
            <w:vAlign w:val="center"/>
          </w:tcPr>
          <w:p w14:paraId="117B4A85">
            <w:pPr>
              <w:spacing w:line="360" w:lineRule="auto"/>
              <w:jc w:val="left"/>
              <w:rPr>
                <w:rFonts w:hint="eastAsia" w:ascii="宋体" w:hAnsi="宋体" w:cs="宋体"/>
                <w:color w:val="auto"/>
                <w:szCs w:val="21"/>
              </w:rPr>
            </w:pPr>
            <w:r>
              <w:rPr>
                <w:rFonts w:hint="eastAsia" w:ascii="宋体" w:hAnsi="宋体" w:cs="宋体"/>
                <w:color w:val="auto"/>
                <w:szCs w:val="21"/>
              </w:rPr>
              <w:t>A-类期刊</w:t>
            </w:r>
          </w:p>
        </w:tc>
        <w:tc>
          <w:tcPr>
            <w:tcW w:w="1019" w:type="dxa"/>
            <w:tcBorders>
              <w:left w:val="single" w:color="auto" w:sz="4" w:space="0"/>
              <w:right w:val="single" w:color="auto" w:sz="4" w:space="0"/>
            </w:tcBorders>
            <w:vAlign w:val="center"/>
          </w:tcPr>
          <w:p w14:paraId="47B9E0C4">
            <w:pPr>
              <w:spacing w:line="360" w:lineRule="auto"/>
              <w:jc w:val="center"/>
              <w:rPr>
                <w:rFonts w:hint="eastAsia" w:ascii="宋体" w:hAnsi="宋体" w:cs="宋体"/>
                <w:color w:val="auto"/>
                <w:szCs w:val="21"/>
              </w:rPr>
            </w:pPr>
            <w:r>
              <w:rPr>
                <w:rFonts w:hint="eastAsia" w:ascii="宋体" w:hAnsi="宋体" w:cs="宋体"/>
                <w:color w:val="auto"/>
                <w:szCs w:val="21"/>
              </w:rPr>
              <w:t>50</w:t>
            </w:r>
          </w:p>
        </w:tc>
        <w:tc>
          <w:tcPr>
            <w:tcW w:w="3115" w:type="dxa"/>
            <w:vMerge w:val="continue"/>
            <w:tcBorders>
              <w:left w:val="single" w:color="auto" w:sz="4" w:space="0"/>
              <w:right w:val="single" w:color="auto" w:sz="4" w:space="0"/>
            </w:tcBorders>
            <w:vAlign w:val="center"/>
          </w:tcPr>
          <w:p w14:paraId="5EA2FF22">
            <w:pPr>
              <w:spacing w:line="360" w:lineRule="auto"/>
              <w:jc w:val="left"/>
              <w:rPr>
                <w:rFonts w:hint="eastAsia" w:ascii="宋体" w:hAnsi="宋体" w:cs="宋体"/>
                <w:color w:val="auto"/>
                <w:szCs w:val="21"/>
              </w:rPr>
            </w:pPr>
          </w:p>
        </w:tc>
      </w:tr>
      <w:tr w14:paraId="14D7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79C0EB97">
            <w:pPr>
              <w:spacing w:line="360" w:lineRule="auto"/>
              <w:jc w:val="left"/>
              <w:rPr>
                <w:rFonts w:hint="eastAsia" w:ascii="宋体" w:hAnsi="宋体" w:cs="宋体"/>
                <w:color w:val="auto"/>
                <w:szCs w:val="21"/>
              </w:rPr>
            </w:pPr>
          </w:p>
        </w:tc>
        <w:tc>
          <w:tcPr>
            <w:tcW w:w="3923" w:type="dxa"/>
            <w:tcBorders>
              <w:top w:val="single" w:color="auto" w:sz="4" w:space="0"/>
              <w:left w:val="single" w:color="auto" w:sz="4" w:space="0"/>
              <w:right w:val="single" w:color="auto" w:sz="4" w:space="0"/>
            </w:tcBorders>
            <w:vAlign w:val="center"/>
          </w:tcPr>
          <w:p w14:paraId="711EC6D2">
            <w:pPr>
              <w:spacing w:line="360" w:lineRule="auto"/>
              <w:jc w:val="left"/>
              <w:rPr>
                <w:rFonts w:hint="eastAsia" w:ascii="宋体" w:hAnsi="宋体" w:cs="宋体"/>
                <w:color w:val="auto"/>
                <w:szCs w:val="21"/>
              </w:rPr>
            </w:pPr>
            <w:r>
              <w:rPr>
                <w:rFonts w:hint="eastAsia" w:ascii="宋体" w:hAnsi="宋体" w:cs="宋体"/>
                <w:color w:val="auto"/>
                <w:szCs w:val="21"/>
              </w:rPr>
              <w:t>B+类期刊</w:t>
            </w:r>
          </w:p>
        </w:tc>
        <w:tc>
          <w:tcPr>
            <w:tcW w:w="1019" w:type="dxa"/>
            <w:tcBorders>
              <w:left w:val="single" w:color="auto" w:sz="4" w:space="0"/>
              <w:right w:val="single" w:color="auto" w:sz="4" w:space="0"/>
            </w:tcBorders>
            <w:vAlign w:val="center"/>
          </w:tcPr>
          <w:p w14:paraId="4E71312D">
            <w:pPr>
              <w:spacing w:line="360" w:lineRule="auto"/>
              <w:jc w:val="center"/>
              <w:rPr>
                <w:rFonts w:hint="eastAsia" w:ascii="宋体" w:hAnsi="宋体" w:cs="宋体"/>
                <w:color w:val="auto"/>
                <w:szCs w:val="21"/>
              </w:rPr>
            </w:pPr>
            <w:r>
              <w:rPr>
                <w:rFonts w:hint="eastAsia" w:ascii="宋体" w:hAnsi="宋体" w:cs="宋体"/>
                <w:color w:val="auto"/>
                <w:szCs w:val="21"/>
              </w:rPr>
              <w:t>30</w:t>
            </w:r>
          </w:p>
        </w:tc>
        <w:tc>
          <w:tcPr>
            <w:tcW w:w="3115" w:type="dxa"/>
            <w:vMerge w:val="continue"/>
            <w:tcBorders>
              <w:left w:val="single" w:color="auto" w:sz="4" w:space="0"/>
              <w:right w:val="single" w:color="auto" w:sz="4" w:space="0"/>
            </w:tcBorders>
            <w:vAlign w:val="center"/>
          </w:tcPr>
          <w:p w14:paraId="157D36D0">
            <w:pPr>
              <w:spacing w:line="360" w:lineRule="auto"/>
              <w:jc w:val="left"/>
              <w:rPr>
                <w:rFonts w:hint="eastAsia" w:ascii="宋体" w:hAnsi="宋体" w:cs="宋体"/>
                <w:color w:val="auto"/>
                <w:szCs w:val="21"/>
              </w:rPr>
            </w:pPr>
          </w:p>
        </w:tc>
      </w:tr>
      <w:tr w14:paraId="0100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78938E09">
            <w:pPr>
              <w:spacing w:line="360" w:lineRule="auto"/>
              <w:jc w:val="left"/>
              <w:rPr>
                <w:rFonts w:hint="eastAsia" w:ascii="宋体" w:hAnsi="宋体" w:cs="宋体"/>
                <w:color w:val="auto"/>
                <w:szCs w:val="21"/>
              </w:rPr>
            </w:pPr>
          </w:p>
        </w:tc>
        <w:tc>
          <w:tcPr>
            <w:tcW w:w="3923" w:type="dxa"/>
            <w:tcBorders>
              <w:top w:val="single" w:color="auto" w:sz="4" w:space="0"/>
              <w:left w:val="single" w:color="auto" w:sz="4" w:space="0"/>
              <w:right w:val="single" w:color="auto" w:sz="4" w:space="0"/>
            </w:tcBorders>
            <w:vAlign w:val="center"/>
          </w:tcPr>
          <w:p w14:paraId="4C9D1BCB">
            <w:pPr>
              <w:tabs>
                <w:tab w:val="center" w:pos="1853"/>
              </w:tabs>
              <w:spacing w:line="360" w:lineRule="auto"/>
              <w:jc w:val="left"/>
              <w:rPr>
                <w:rFonts w:hint="eastAsia" w:ascii="宋体" w:hAnsi="宋体" w:cs="宋体"/>
                <w:color w:val="auto"/>
                <w:szCs w:val="21"/>
              </w:rPr>
            </w:pPr>
            <w:r>
              <w:rPr>
                <w:rFonts w:hint="eastAsia" w:ascii="宋体" w:hAnsi="宋体" w:cs="宋体"/>
                <w:color w:val="auto"/>
                <w:szCs w:val="21"/>
              </w:rPr>
              <w:t>B类期刊</w:t>
            </w:r>
          </w:p>
        </w:tc>
        <w:tc>
          <w:tcPr>
            <w:tcW w:w="1019" w:type="dxa"/>
            <w:tcBorders>
              <w:left w:val="single" w:color="auto" w:sz="4" w:space="0"/>
              <w:right w:val="single" w:color="auto" w:sz="4" w:space="0"/>
            </w:tcBorders>
            <w:vAlign w:val="center"/>
          </w:tcPr>
          <w:p w14:paraId="6536B2E4">
            <w:pPr>
              <w:spacing w:line="360" w:lineRule="auto"/>
              <w:jc w:val="center"/>
              <w:rPr>
                <w:rFonts w:hint="eastAsia" w:ascii="宋体" w:hAnsi="宋体" w:cs="宋体"/>
                <w:color w:val="auto"/>
                <w:szCs w:val="21"/>
              </w:rPr>
            </w:pPr>
            <w:r>
              <w:rPr>
                <w:rFonts w:hint="eastAsia" w:ascii="宋体" w:hAnsi="宋体" w:cs="宋体"/>
                <w:color w:val="auto"/>
                <w:szCs w:val="21"/>
              </w:rPr>
              <w:t>20</w:t>
            </w:r>
          </w:p>
        </w:tc>
        <w:tc>
          <w:tcPr>
            <w:tcW w:w="3115" w:type="dxa"/>
            <w:vMerge w:val="continue"/>
            <w:tcBorders>
              <w:left w:val="single" w:color="auto" w:sz="4" w:space="0"/>
              <w:right w:val="single" w:color="auto" w:sz="4" w:space="0"/>
            </w:tcBorders>
            <w:vAlign w:val="center"/>
          </w:tcPr>
          <w:p w14:paraId="3F5BB611">
            <w:pPr>
              <w:spacing w:line="360" w:lineRule="auto"/>
              <w:jc w:val="left"/>
              <w:rPr>
                <w:rFonts w:hint="eastAsia" w:ascii="宋体" w:hAnsi="宋体" w:cs="宋体"/>
                <w:color w:val="auto"/>
                <w:szCs w:val="21"/>
              </w:rPr>
            </w:pPr>
          </w:p>
        </w:tc>
      </w:tr>
      <w:tr w14:paraId="53A8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0914B651">
            <w:pPr>
              <w:spacing w:line="360" w:lineRule="auto"/>
              <w:jc w:val="left"/>
              <w:rPr>
                <w:rFonts w:hint="eastAsia" w:ascii="宋体" w:hAnsi="宋体" w:cs="宋体"/>
                <w:color w:val="auto"/>
                <w:szCs w:val="21"/>
              </w:rPr>
            </w:pPr>
          </w:p>
        </w:tc>
        <w:tc>
          <w:tcPr>
            <w:tcW w:w="3923" w:type="dxa"/>
            <w:tcBorders>
              <w:top w:val="single" w:color="auto" w:sz="4" w:space="0"/>
              <w:left w:val="single" w:color="auto" w:sz="4" w:space="0"/>
              <w:right w:val="single" w:color="auto" w:sz="4" w:space="0"/>
            </w:tcBorders>
            <w:vAlign w:val="center"/>
          </w:tcPr>
          <w:p w14:paraId="70CF177C">
            <w:pPr>
              <w:spacing w:line="360" w:lineRule="auto"/>
              <w:jc w:val="left"/>
              <w:rPr>
                <w:rFonts w:hint="eastAsia" w:ascii="宋体" w:hAnsi="宋体" w:cs="宋体"/>
                <w:color w:val="auto"/>
                <w:szCs w:val="21"/>
              </w:rPr>
            </w:pPr>
            <w:r>
              <w:rPr>
                <w:rFonts w:hint="eastAsia" w:ascii="宋体" w:hAnsi="宋体" w:cs="宋体"/>
                <w:color w:val="auto"/>
                <w:szCs w:val="21"/>
              </w:rPr>
              <w:t>C类期刊</w:t>
            </w:r>
          </w:p>
        </w:tc>
        <w:tc>
          <w:tcPr>
            <w:tcW w:w="1019" w:type="dxa"/>
            <w:tcBorders>
              <w:left w:val="single" w:color="auto" w:sz="4" w:space="0"/>
              <w:right w:val="single" w:color="auto" w:sz="4" w:space="0"/>
            </w:tcBorders>
            <w:vAlign w:val="center"/>
          </w:tcPr>
          <w:p w14:paraId="2E84ACA9">
            <w:pPr>
              <w:spacing w:line="360" w:lineRule="auto"/>
              <w:jc w:val="center"/>
              <w:rPr>
                <w:rFonts w:hint="eastAsia" w:ascii="宋体" w:hAnsi="宋体" w:cs="宋体"/>
                <w:color w:val="auto"/>
                <w:szCs w:val="21"/>
              </w:rPr>
            </w:pPr>
            <w:r>
              <w:rPr>
                <w:rFonts w:hint="eastAsia" w:ascii="宋体" w:hAnsi="宋体" w:cs="宋体"/>
                <w:color w:val="auto"/>
                <w:szCs w:val="21"/>
              </w:rPr>
              <w:t>15</w:t>
            </w:r>
          </w:p>
        </w:tc>
        <w:tc>
          <w:tcPr>
            <w:tcW w:w="3115" w:type="dxa"/>
            <w:vMerge w:val="continue"/>
            <w:tcBorders>
              <w:left w:val="single" w:color="auto" w:sz="4" w:space="0"/>
              <w:right w:val="single" w:color="auto" w:sz="4" w:space="0"/>
            </w:tcBorders>
            <w:vAlign w:val="center"/>
          </w:tcPr>
          <w:p w14:paraId="69785BE7">
            <w:pPr>
              <w:spacing w:line="360" w:lineRule="auto"/>
              <w:jc w:val="left"/>
              <w:rPr>
                <w:rFonts w:hint="eastAsia" w:ascii="宋体" w:hAnsi="宋体" w:cs="宋体"/>
                <w:color w:val="auto"/>
                <w:szCs w:val="21"/>
              </w:rPr>
            </w:pPr>
          </w:p>
        </w:tc>
      </w:tr>
      <w:tr w14:paraId="1642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7976ADE4">
            <w:pPr>
              <w:spacing w:line="360" w:lineRule="auto"/>
              <w:jc w:val="left"/>
              <w:rPr>
                <w:rFonts w:hint="eastAsia" w:ascii="宋体" w:hAnsi="宋体" w:cs="宋体"/>
                <w:color w:val="auto"/>
                <w:szCs w:val="21"/>
              </w:rPr>
            </w:pPr>
          </w:p>
        </w:tc>
        <w:tc>
          <w:tcPr>
            <w:tcW w:w="3923" w:type="dxa"/>
            <w:tcBorders>
              <w:top w:val="single" w:color="auto" w:sz="4" w:space="0"/>
              <w:left w:val="single" w:color="auto" w:sz="4" w:space="0"/>
              <w:right w:val="single" w:color="auto" w:sz="4" w:space="0"/>
            </w:tcBorders>
            <w:vAlign w:val="center"/>
          </w:tcPr>
          <w:p w14:paraId="7C7125D2">
            <w:pPr>
              <w:spacing w:line="360" w:lineRule="auto"/>
              <w:jc w:val="left"/>
              <w:rPr>
                <w:rFonts w:hint="eastAsia" w:ascii="宋体" w:hAnsi="宋体" w:cs="宋体"/>
                <w:color w:val="auto"/>
                <w:szCs w:val="21"/>
              </w:rPr>
            </w:pPr>
            <w:r>
              <w:rPr>
                <w:rFonts w:hint="eastAsia" w:ascii="宋体" w:hAnsi="宋体" w:cs="宋体"/>
                <w:color w:val="auto"/>
                <w:szCs w:val="21"/>
              </w:rPr>
              <w:t>D类期刊</w:t>
            </w:r>
          </w:p>
        </w:tc>
        <w:tc>
          <w:tcPr>
            <w:tcW w:w="1019" w:type="dxa"/>
            <w:tcBorders>
              <w:left w:val="single" w:color="auto" w:sz="4" w:space="0"/>
              <w:right w:val="single" w:color="auto" w:sz="4" w:space="0"/>
            </w:tcBorders>
            <w:vAlign w:val="center"/>
          </w:tcPr>
          <w:p w14:paraId="25132949">
            <w:pPr>
              <w:spacing w:line="360" w:lineRule="auto"/>
              <w:jc w:val="center"/>
              <w:rPr>
                <w:rFonts w:hint="eastAsia" w:ascii="宋体" w:hAnsi="宋体" w:cs="宋体"/>
                <w:color w:val="auto"/>
                <w:szCs w:val="21"/>
              </w:rPr>
            </w:pPr>
            <w:r>
              <w:rPr>
                <w:rFonts w:hint="eastAsia" w:ascii="宋体" w:hAnsi="宋体" w:cs="宋体"/>
                <w:color w:val="auto"/>
                <w:szCs w:val="21"/>
              </w:rPr>
              <w:t>5</w:t>
            </w:r>
          </w:p>
        </w:tc>
        <w:tc>
          <w:tcPr>
            <w:tcW w:w="3115" w:type="dxa"/>
            <w:vMerge w:val="continue"/>
            <w:tcBorders>
              <w:left w:val="single" w:color="auto" w:sz="4" w:space="0"/>
              <w:right w:val="single" w:color="auto" w:sz="4" w:space="0"/>
            </w:tcBorders>
            <w:vAlign w:val="center"/>
          </w:tcPr>
          <w:p w14:paraId="2052A2D6">
            <w:pPr>
              <w:spacing w:line="360" w:lineRule="auto"/>
              <w:jc w:val="left"/>
              <w:rPr>
                <w:rFonts w:hint="eastAsia" w:ascii="宋体" w:hAnsi="宋体" w:cs="宋体"/>
                <w:color w:val="auto"/>
                <w:szCs w:val="21"/>
              </w:rPr>
            </w:pPr>
          </w:p>
        </w:tc>
      </w:tr>
      <w:tr w14:paraId="3FB8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49CF9AEA">
            <w:pPr>
              <w:spacing w:line="360" w:lineRule="auto"/>
              <w:jc w:val="left"/>
              <w:rPr>
                <w:rFonts w:hint="eastAsia" w:ascii="宋体" w:hAnsi="宋体" w:cs="宋体"/>
                <w:color w:val="auto"/>
                <w:szCs w:val="21"/>
              </w:rPr>
            </w:pPr>
          </w:p>
        </w:tc>
        <w:tc>
          <w:tcPr>
            <w:tcW w:w="3923" w:type="dxa"/>
            <w:tcBorders>
              <w:top w:val="single" w:color="auto" w:sz="4" w:space="0"/>
              <w:left w:val="single" w:color="auto" w:sz="4" w:space="0"/>
              <w:right w:val="single" w:color="auto" w:sz="4" w:space="0"/>
            </w:tcBorders>
            <w:vAlign w:val="center"/>
          </w:tcPr>
          <w:p w14:paraId="7168D5A0">
            <w:pPr>
              <w:spacing w:line="360" w:lineRule="auto"/>
              <w:jc w:val="left"/>
              <w:rPr>
                <w:rFonts w:hint="eastAsia" w:ascii="宋体" w:hAnsi="宋体" w:cs="宋体"/>
                <w:color w:val="auto"/>
                <w:szCs w:val="21"/>
              </w:rPr>
            </w:pPr>
            <w:r>
              <w:rPr>
                <w:rFonts w:hint="eastAsia" w:ascii="宋体" w:hAnsi="宋体" w:cs="宋体"/>
                <w:color w:val="auto"/>
                <w:szCs w:val="21"/>
              </w:rPr>
              <w:t>E类期刊</w:t>
            </w:r>
          </w:p>
        </w:tc>
        <w:tc>
          <w:tcPr>
            <w:tcW w:w="1019" w:type="dxa"/>
            <w:tcBorders>
              <w:left w:val="single" w:color="auto" w:sz="4" w:space="0"/>
              <w:right w:val="single" w:color="auto" w:sz="4" w:space="0"/>
            </w:tcBorders>
            <w:vAlign w:val="center"/>
          </w:tcPr>
          <w:p w14:paraId="0C52F874">
            <w:pPr>
              <w:spacing w:line="360" w:lineRule="auto"/>
              <w:jc w:val="center"/>
              <w:rPr>
                <w:rFonts w:hint="eastAsia" w:ascii="宋体" w:hAnsi="宋体" w:cs="宋体"/>
                <w:color w:val="auto"/>
                <w:szCs w:val="21"/>
              </w:rPr>
            </w:pPr>
            <w:r>
              <w:rPr>
                <w:rFonts w:hint="eastAsia" w:ascii="宋体" w:hAnsi="宋体" w:cs="宋体"/>
                <w:color w:val="auto"/>
                <w:szCs w:val="21"/>
              </w:rPr>
              <w:t>5</w:t>
            </w:r>
          </w:p>
        </w:tc>
        <w:tc>
          <w:tcPr>
            <w:tcW w:w="3115" w:type="dxa"/>
            <w:vMerge w:val="continue"/>
            <w:tcBorders>
              <w:left w:val="single" w:color="auto" w:sz="4" w:space="0"/>
              <w:right w:val="single" w:color="auto" w:sz="4" w:space="0"/>
            </w:tcBorders>
            <w:vAlign w:val="center"/>
          </w:tcPr>
          <w:p w14:paraId="413AE62C">
            <w:pPr>
              <w:spacing w:line="360" w:lineRule="auto"/>
              <w:jc w:val="left"/>
              <w:rPr>
                <w:rFonts w:hint="eastAsia" w:ascii="宋体" w:hAnsi="宋体" w:cs="宋体"/>
                <w:color w:val="auto"/>
                <w:szCs w:val="21"/>
              </w:rPr>
            </w:pPr>
          </w:p>
        </w:tc>
      </w:tr>
      <w:tr w14:paraId="18C0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6D96AFC6">
            <w:pPr>
              <w:spacing w:line="360" w:lineRule="auto"/>
              <w:jc w:val="left"/>
              <w:rPr>
                <w:rFonts w:hint="eastAsia" w:ascii="宋体" w:hAnsi="宋体" w:cs="宋体"/>
                <w:color w:val="auto"/>
                <w:szCs w:val="21"/>
              </w:rPr>
            </w:pPr>
          </w:p>
        </w:tc>
        <w:tc>
          <w:tcPr>
            <w:tcW w:w="3923" w:type="dxa"/>
            <w:tcBorders>
              <w:top w:val="single" w:color="auto" w:sz="4" w:space="0"/>
              <w:left w:val="single" w:color="auto" w:sz="4" w:space="0"/>
              <w:right w:val="single" w:color="auto" w:sz="4" w:space="0"/>
            </w:tcBorders>
            <w:vAlign w:val="center"/>
          </w:tcPr>
          <w:p w14:paraId="6B37ADE0">
            <w:pPr>
              <w:spacing w:line="360" w:lineRule="auto"/>
              <w:jc w:val="left"/>
              <w:rPr>
                <w:rFonts w:hint="eastAsia" w:ascii="宋体" w:hAnsi="宋体" w:cs="宋体"/>
                <w:color w:val="auto"/>
                <w:szCs w:val="21"/>
              </w:rPr>
            </w:pPr>
            <w:r>
              <w:rPr>
                <w:rFonts w:hint="eastAsia" w:ascii="宋体" w:hAnsi="宋体" w:cs="宋体"/>
                <w:color w:val="auto"/>
                <w:szCs w:val="21"/>
              </w:rPr>
              <w:t>F类期刊</w:t>
            </w:r>
          </w:p>
        </w:tc>
        <w:tc>
          <w:tcPr>
            <w:tcW w:w="1019" w:type="dxa"/>
            <w:tcBorders>
              <w:left w:val="single" w:color="auto" w:sz="4" w:space="0"/>
              <w:right w:val="single" w:color="auto" w:sz="4" w:space="0"/>
            </w:tcBorders>
            <w:vAlign w:val="center"/>
          </w:tcPr>
          <w:p w14:paraId="7A70E2C7">
            <w:pPr>
              <w:spacing w:line="360" w:lineRule="auto"/>
              <w:jc w:val="center"/>
              <w:rPr>
                <w:rFonts w:hint="eastAsia" w:ascii="宋体" w:hAnsi="宋体" w:cs="宋体"/>
                <w:color w:val="auto"/>
                <w:szCs w:val="21"/>
              </w:rPr>
            </w:pPr>
            <w:r>
              <w:rPr>
                <w:rFonts w:hint="eastAsia" w:ascii="宋体" w:hAnsi="宋体" w:cs="宋体"/>
                <w:color w:val="auto"/>
                <w:szCs w:val="21"/>
              </w:rPr>
              <w:t>3</w:t>
            </w:r>
          </w:p>
        </w:tc>
        <w:tc>
          <w:tcPr>
            <w:tcW w:w="3115" w:type="dxa"/>
            <w:vMerge w:val="continue"/>
            <w:tcBorders>
              <w:left w:val="single" w:color="auto" w:sz="4" w:space="0"/>
              <w:right w:val="single" w:color="auto" w:sz="4" w:space="0"/>
            </w:tcBorders>
            <w:vAlign w:val="center"/>
          </w:tcPr>
          <w:p w14:paraId="5872F60C">
            <w:pPr>
              <w:spacing w:line="360" w:lineRule="auto"/>
              <w:jc w:val="left"/>
              <w:rPr>
                <w:rFonts w:hint="eastAsia" w:ascii="宋体" w:hAnsi="宋体" w:cs="宋体"/>
                <w:color w:val="auto"/>
                <w:szCs w:val="21"/>
              </w:rPr>
            </w:pPr>
          </w:p>
        </w:tc>
      </w:tr>
      <w:tr w14:paraId="46BB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4DE13C1E">
            <w:pPr>
              <w:spacing w:line="360" w:lineRule="auto"/>
              <w:jc w:val="left"/>
              <w:rPr>
                <w:rFonts w:hint="eastAsia" w:ascii="宋体" w:hAnsi="宋体" w:cs="宋体"/>
                <w:color w:val="auto"/>
                <w:szCs w:val="21"/>
              </w:rPr>
            </w:pPr>
          </w:p>
        </w:tc>
        <w:tc>
          <w:tcPr>
            <w:tcW w:w="3923" w:type="dxa"/>
            <w:tcBorders>
              <w:top w:val="single" w:color="auto" w:sz="4" w:space="0"/>
              <w:left w:val="single" w:color="auto" w:sz="4" w:space="0"/>
              <w:right w:val="single" w:color="auto" w:sz="4" w:space="0"/>
            </w:tcBorders>
            <w:vAlign w:val="center"/>
          </w:tcPr>
          <w:p w14:paraId="3311D941">
            <w:pPr>
              <w:spacing w:line="360" w:lineRule="auto"/>
              <w:jc w:val="left"/>
              <w:rPr>
                <w:rFonts w:hint="eastAsia" w:ascii="宋体" w:hAnsi="宋体" w:cs="宋体"/>
                <w:color w:val="auto"/>
                <w:szCs w:val="21"/>
              </w:rPr>
            </w:pPr>
            <w:r>
              <w:rPr>
                <w:rFonts w:hint="eastAsia" w:ascii="宋体" w:hAnsi="宋体" w:cs="宋体"/>
                <w:color w:val="auto"/>
                <w:szCs w:val="21"/>
              </w:rPr>
              <w:t>G类期刊</w:t>
            </w:r>
          </w:p>
        </w:tc>
        <w:tc>
          <w:tcPr>
            <w:tcW w:w="1019" w:type="dxa"/>
            <w:tcBorders>
              <w:left w:val="single" w:color="auto" w:sz="4" w:space="0"/>
              <w:right w:val="single" w:color="auto" w:sz="4" w:space="0"/>
            </w:tcBorders>
            <w:vAlign w:val="center"/>
          </w:tcPr>
          <w:p w14:paraId="3AA9ED71">
            <w:pPr>
              <w:spacing w:line="360" w:lineRule="auto"/>
              <w:jc w:val="center"/>
              <w:rPr>
                <w:rFonts w:hint="eastAsia" w:ascii="宋体" w:hAnsi="宋体" w:cs="宋体"/>
                <w:color w:val="auto"/>
                <w:szCs w:val="21"/>
              </w:rPr>
            </w:pPr>
            <w:r>
              <w:rPr>
                <w:rFonts w:hint="eastAsia" w:ascii="宋体" w:hAnsi="宋体" w:cs="宋体"/>
                <w:color w:val="auto"/>
                <w:szCs w:val="21"/>
              </w:rPr>
              <w:t>3</w:t>
            </w:r>
          </w:p>
        </w:tc>
        <w:tc>
          <w:tcPr>
            <w:tcW w:w="3115" w:type="dxa"/>
            <w:vMerge w:val="continue"/>
            <w:tcBorders>
              <w:left w:val="single" w:color="auto" w:sz="4" w:space="0"/>
              <w:right w:val="single" w:color="auto" w:sz="4" w:space="0"/>
            </w:tcBorders>
            <w:vAlign w:val="center"/>
          </w:tcPr>
          <w:p w14:paraId="5EB566BE">
            <w:pPr>
              <w:spacing w:line="360" w:lineRule="auto"/>
              <w:jc w:val="left"/>
              <w:rPr>
                <w:rFonts w:hint="eastAsia" w:ascii="宋体" w:hAnsi="宋体" w:cs="宋体"/>
                <w:color w:val="auto"/>
                <w:szCs w:val="21"/>
              </w:rPr>
            </w:pPr>
          </w:p>
        </w:tc>
      </w:tr>
      <w:tr w14:paraId="5300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00FB691E">
            <w:pPr>
              <w:spacing w:line="360" w:lineRule="auto"/>
              <w:jc w:val="left"/>
              <w:rPr>
                <w:rFonts w:hint="eastAsia" w:ascii="宋体" w:hAnsi="宋体" w:cs="宋体"/>
                <w:color w:val="auto"/>
                <w:szCs w:val="21"/>
              </w:rPr>
            </w:pPr>
          </w:p>
        </w:tc>
        <w:tc>
          <w:tcPr>
            <w:tcW w:w="3923" w:type="dxa"/>
            <w:tcBorders>
              <w:top w:val="single" w:color="auto" w:sz="4" w:space="0"/>
              <w:left w:val="single" w:color="auto" w:sz="4" w:space="0"/>
              <w:right w:val="single" w:color="auto" w:sz="4" w:space="0"/>
            </w:tcBorders>
            <w:vAlign w:val="center"/>
          </w:tcPr>
          <w:p w14:paraId="2DD986EA">
            <w:pPr>
              <w:rPr>
                <w:color w:val="auto"/>
              </w:rPr>
            </w:pPr>
            <w:r>
              <w:rPr>
                <w:rFonts w:hint="eastAsia"/>
                <w:color w:val="auto"/>
              </w:rPr>
              <w:t>除以上类别之外的其他普刊</w:t>
            </w:r>
          </w:p>
        </w:tc>
        <w:tc>
          <w:tcPr>
            <w:tcW w:w="1019" w:type="dxa"/>
            <w:tcBorders>
              <w:left w:val="single" w:color="auto" w:sz="4" w:space="0"/>
              <w:right w:val="single" w:color="auto" w:sz="4" w:space="0"/>
            </w:tcBorders>
            <w:vAlign w:val="center"/>
          </w:tcPr>
          <w:p w14:paraId="5F6F84A3">
            <w:pPr>
              <w:spacing w:line="360" w:lineRule="auto"/>
              <w:jc w:val="center"/>
              <w:rPr>
                <w:rFonts w:hint="eastAsia" w:ascii="宋体" w:hAnsi="宋体" w:cs="宋体"/>
                <w:color w:val="auto"/>
                <w:szCs w:val="21"/>
              </w:rPr>
            </w:pPr>
            <w:r>
              <w:rPr>
                <w:rFonts w:hint="eastAsia" w:ascii="宋体" w:hAnsi="宋体" w:cs="宋体"/>
                <w:color w:val="auto"/>
                <w:szCs w:val="21"/>
              </w:rPr>
              <w:t>1</w:t>
            </w:r>
          </w:p>
        </w:tc>
        <w:tc>
          <w:tcPr>
            <w:tcW w:w="3115" w:type="dxa"/>
            <w:vMerge w:val="continue"/>
            <w:tcBorders>
              <w:left w:val="single" w:color="auto" w:sz="4" w:space="0"/>
              <w:right w:val="single" w:color="auto" w:sz="4" w:space="0"/>
            </w:tcBorders>
            <w:vAlign w:val="center"/>
          </w:tcPr>
          <w:p w14:paraId="68D5AC8E">
            <w:pPr>
              <w:spacing w:line="360" w:lineRule="auto"/>
              <w:jc w:val="left"/>
              <w:rPr>
                <w:rFonts w:hint="eastAsia" w:ascii="宋体" w:hAnsi="宋体" w:cs="宋体"/>
                <w:color w:val="auto"/>
                <w:szCs w:val="21"/>
              </w:rPr>
            </w:pPr>
          </w:p>
        </w:tc>
      </w:tr>
      <w:tr w14:paraId="3A44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exact"/>
        </w:trPr>
        <w:tc>
          <w:tcPr>
            <w:tcW w:w="462" w:type="dxa"/>
            <w:tcBorders>
              <w:left w:val="single" w:color="auto" w:sz="4" w:space="0"/>
              <w:right w:val="single" w:color="auto" w:sz="4" w:space="0"/>
            </w:tcBorders>
            <w:vAlign w:val="center"/>
          </w:tcPr>
          <w:p w14:paraId="30A0F44B">
            <w:pPr>
              <w:spacing w:line="360" w:lineRule="auto"/>
              <w:rPr>
                <w:rFonts w:hint="eastAsia" w:ascii="宋体" w:hAnsi="宋体" w:cs="宋体"/>
                <w:color w:val="auto"/>
                <w:szCs w:val="21"/>
              </w:rPr>
            </w:pPr>
            <w:r>
              <w:rPr>
                <w:rFonts w:hint="eastAsia" w:ascii="宋体" w:hAnsi="宋体" w:cs="宋体"/>
                <w:color w:val="auto"/>
                <w:szCs w:val="21"/>
              </w:rPr>
              <w:t>其他</w:t>
            </w:r>
          </w:p>
        </w:tc>
        <w:tc>
          <w:tcPr>
            <w:tcW w:w="3923" w:type="dxa"/>
            <w:tcBorders>
              <w:top w:val="single" w:color="auto" w:sz="4" w:space="0"/>
              <w:left w:val="single" w:color="auto" w:sz="4" w:space="0"/>
              <w:right w:val="single" w:color="auto" w:sz="4" w:space="0"/>
            </w:tcBorders>
            <w:vAlign w:val="center"/>
          </w:tcPr>
          <w:p w14:paraId="2D845A48">
            <w:pPr>
              <w:spacing w:line="360" w:lineRule="auto"/>
              <w:rPr>
                <w:rFonts w:hint="eastAsia" w:ascii="宋体" w:hAnsi="宋体" w:cs="宋体"/>
                <w:color w:val="auto"/>
                <w:szCs w:val="21"/>
              </w:rPr>
            </w:pPr>
            <w:r>
              <w:rPr>
                <w:rFonts w:hint="eastAsia" w:ascii="宋体" w:hAnsi="宋体" w:cs="宋体"/>
                <w:color w:val="auto"/>
                <w:szCs w:val="21"/>
              </w:rPr>
              <w:t>出版专著</w:t>
            </w:r>
            <w:r>
              <w:rPr>
                <w:rFonts w:hint="eastAsia"/>
                <w:color w:val="auto"/>
              </w:rPr>
              <w:t>、</w:t>
            </w:r>
            <w:r>
              <w:rPr>
                <w:rFonts w:hint="eastAsia" w:ascii="宋体" w:hAnsi="宋体" w:cs="宋体"/>
                <w:color w:val="auto"/>
                <w:szCs w:val="21"/>
              </w:rPr>
              <w:t>出版教材</w:t>
            </w:r>
          </w:p>
        </w:tc>
        <w:tc>
          <w:tcPr>
            <w:tcW w:w="1019" w:type="dxa"/>
            <w:tcBorders>
              <w:top w:val="single" w:color="auto" w:sz="4" w:space="0"/>
              <w:left w:val="single" w:color="auto" w:sz="4" w:space="0"/>
              <w:bottom w:val="single" w:color="auto" w:sz="4" w:space="0"/>
              <w:right w:val="single" w:color="auto" w:sz="4" w:space="0"/>
            </w:tcBorders>
            <w:vAlign w:val="center"/>
          </w:tcPr>
          <w:p w14:paraId="1B9FBAE8">
            <w:pPr>
              <w:spacing w:line="360" w:lineRule="auto"/>
              <w:jc w:val="center"/>
              <w:rPr>
                <w:rFonts w:hint="eastAsia" w:ascii="宋体" w:hAnsi="宋体" w:cs="宋体"/>
                <w:color w:val="auto"/>
                <w:szCs w:val="21"/>
              </w:rPr>
            </w:pPr>
            <w:r>
              <w:rPr>
                <w:rFonts w:hint="eastAsia" w:ascii="宋体" w:hAnsi="宋体" w:cs="宋体"/>
                <w:color w:val="auto"/>
                <w:szCs w:val="21"/>
              </w:rPr>
              <w:t>10</w:t>
            </w:r>
          </w:p>
        </w:tc>
        <w:tc>
          <w:tcPr>
            <w:tcW w:w="3115" w:type="dxa"/>
            <w:tcBorders>
              <w:left w:val="single" w:color="auto" w:sz="4" w:space="0"/>
              <w:right w:val="single" w:color="auto" w:sz="4" w:space="0"/>
            </w:tcBorders>
            <w:vAlign w:val="center"/>
          </w:tcPr>
          <w:p w14:paraId="360D23E9">
            <w:pPr>
              <w:spacing w:line="360" w:lineRule="auto"/>
              <w:rPr>
                <w:rFonts w:hint="eastAsia" w:ascii="宋体" w:hAnsi="宋体" w:cs="宋体"/>
                <w:color w:val="auto"/>
                <w:szCs w:val="21"/>
              </w:rPr>
            </w:pPr>
            <w:r>
              <w:rPr>
                <w:rFonts w:hint="eastAsia" w:ascii="宋体" w:hAnsi="宋体" w:cs="宋体"/>
                <w:color w:val="auto"/>
                <w:szCs w:val="21"/>
              </w:rPr>
              <w:t>参编人员需在出版物上明确学生署名</w:t>
            </w:r>
          </w:p>
        </w:tc>
      </w:tr>
    </w:tbl>
    <w:p w14:paraId="62C5D378">
      <w:pPr>
        <w:spacing w:before="156" w:beforeLines="50" w:after="156" w:afterLines="50" w:line="360" w:lineRule="auto"/>
        <w:rPr>
          <w:rFonts w:hint="eastAsia" w:ascii="宋体" w:hAnsi="宋体" w:cs="宋体"/>
          <w:b/>
          <w:bCs/>
          <w:color w:val="auto"/>
          <w:szCs w:val="21"/>
        </w:rPr>
      </w:pPr>
    </w:p>
    <w:p w14:paraId="1E03B8E8">
      <w:pPr>
        <w:spacing w:before="156" w:beforeLines="50" w:after="156" w:afterLines="50" w:line="360" w:lineRule="auto"/>
        <w:rPr>
          <w:b/>
          <w:bCs/>
          <w:color w:val="auto"/>
          <w:sz w:val="18"/>
          <w:szCs w:val="1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BC8E">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BC7DD"/>
    <w:multiLevelType w:val="singleLevel"/>
    <w:tmpl w:val="4B0BC7DD"/>
    <w:lvl w:ilvl="0" w:tentative="0">
      <w:start w:val="1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MzM3N2QzYTY1ZGExZDJjMGMyZmNlY2I4ZmU1OTIifQ=="/>
  </w:docVars>
  <w:rsids>
    <w:rsidRoot w:val="00F25C49"/>
    <w:rsid w:val="00016482"/>
    <w:rsid w:val="0002424D"/>
    <w:rsid w:val="000625A2"/>
    <w:rsid w:val="000834F4"/>
    <w:rsid w:val="00090D33"/>
    <w:rsid w:val="000A3CAB"/>
    <w:rsid w:val="000B103A"/>
    <w:rsid w:val="000B1261"/>
    <w:rsid w:val="000D435D"/>
    <w:rsid w:val="000D79DA"/>
    <w:rsid w:val="000E4B37"/>
    <w:rsid w:val="000F7919"/>
    <w:rsid w:val="00111854"/>
    <w:rsid w:val="00111DE4"/>
    <w:rsid w:val="00142689"/>
    <w:rsid w:val="00163BE1"/>
    <w:rsid w:val="00171CC0"/>
    <w:rsid w:val="0017496A"/>
    <w:rsid w:val="0018099E"/>
    <w:rsid w:val="001A024B"/>
    <w:rsid w:val="001C1720"/>
    <w:rsid w:val="001F17F9"/>
    <w:rsid w:val="001F3469"/>
    <w:rsid w:val="002363DB"/>
    <w:rsid w:val="002417E7"/>
    <w:rsid w:val="00250D6F"/>
    <w:rsid w:val="002B6929"/>
    <w:rsid w:val="00303DCE"/>
    <w:rsid w:val="00307091"/>
    <w:rsid w:val="003154FD"/>
    <w:rsid w:val="00323901"/>
    <w:rsid w:val="00341731"/>
    <w:rsid w:val="00347E5C"/>
    <w:rsid w:val="00365A6B"/>
    <w:rsid w:val="003949FB"/>
    <w:rsid w:val="003B33C6"/>
    <w:rsid w:val="003C21BC"/>
    <w:rsid w:val="0042101B"/>
    <w:rsid w:val="00431D5D"/>
    <w:rsid w:val="004373A9"/>
    <w:rsid w:val="00460E1C"/>
    <w:rsid w:val="004F0AF8"/>
    <w:rsid w:val="004F0B40"/>
    <w:rsid w:val="00507288"/>
    <w:rsid w:val="00514B8C"/>
    <w:rsid w:val="005158AA"/>
    <w:rsid w:val="00532273"/>
    <w:rsid w:val="00544185"/>
    <w:rsid w:val="00570FB5"/>
    <w:rsid w:val="00590F9B"/>
    <w:rsid w:val="005A1966"/>
    <w:rsid w:val="005B3160"/>
    <w:rsid w:val="005C6D3C"/>
    <w:rsid w:val="005D03D4"/>
    <w:rsid w:val="005D19FB"/>
    <w:rsid w:val="005E7A36"/>
    <w:rsid w:val="00617515"/>
    <w:rsid w:val="00640C48"/>
    <w:rsid w:val="006420FD"/>
    <w:rsid w:val="006546EE"/>
    <w:rsid w:val="00655C59"/>
    <w:rsid w:val="006D786C"/>
    <w:rsid w:val="00715F71"/>
    <w:rsid w:val="007378DA"/>
    <w:rsid w:val="0074704C"/>
    <w:rsid w:val="007563CE"/>
    <w:rsid w:val="007823FD"/>
    <w:rsid w:val="00782F2B"/>
    <w:rsid w:val="007B6ACC"/>
    <w:rsid w:val="007F5887"/>
    <w:rsid w:val="00810FC8"/>
    <w:rsid w:val="00834C4D"/>
    <w:rsid w:val="0088122E"/>
    <w:rsid w:val="00886D72"/>
    <w:rsid w:val="008B253D"/>
    <w:rsid w:val="008E0DEE"/>
    <w:rsid w:val="009112A0"/>
    <w:rsid w:val="00922AB6"/>
    <w:rsid w:val="00926379"/>
    <w:rsid w:val="00931E83"/>
    <w:rsid w:val="00962F13"/>
    <w:rsid w:val="009643B9"/>
    <w:rsid w:val="0096594C"/>
    <w:rsid w:val="00973648"/>
    <w:rsid w:val="009815A5"/>
    <w:rsid w:val="009851BF"/>
    <w:rsid w:val="00986AD4"/>
    <w:rsid w:val="009B7000"/>
    <w:rsid w:val="009E2A2E"/>
    <w:rsid w:val="009E65D9"/>
    <w:rsid w:val="009F05AB"/>
    <w:rsid w:val="00A0122E"/>
    <w:rsid w:val="00A108AD"/>
    <w:rsid w:val="00A36F4D"/>
    <w:rsid w:val="00A5560C"/>
    <w:rsid w:val="00A70424"/>
    <w:rsid w:val="00AD402C"/>
    <w:rsid w:val="00AD42BA"/>
    <w:rsid w:val="00AE6E5C"/>
    <w:rsid w:val="00AF23A1"/>
    <w:rsid w:val="00B1124F"/>
    <w:rsid w:val="00B3663B"/>
    <w:rsid w:val="00B37ED4"/>
    <w:rsid w:val="00B50C19"/>
    <w:rsid w:val="00B54425"/>
    <w:rsid w:val="00B77877"/>
    <w:rsid w:val="00B80413"/>
    <w:rsid w:val="00BA554A"/>
    <w:rsid w:val="00BB2117"/>
    <w:rsid w:val="00BF279F"/>
    <w:rsid w:val="00C40666"/>
    <w:rsid w:val="00CA13CA"/>
    <w:rsid w:val="00CA3ED5"/>
    <w:rsid w:val="00CB3B40"/>
    <w:rsid w:val="00CC4093"/>
    <w:rsid w:val="00CE337E"/>
    <w:rsid w:val="00D13EE5"/>
    <w:rsid w:val="00D16814"/>
    <w:rsid w:val="00D20E8E"/>
    <w:rsid w:val="00D32C1A"/>
    <w:rsid w:val="00D60692"/>
    <w:rsid w:val="00D61A35"/>
    <w:rsid w:val="00D61F26"/>
    <w:rsid w:val="00D91DB7"/>
    <w:rsid w:val="00D91F2C"/>
    <w:rsid w:val="00DC16D9"/>
    <w:rsid w:val="00DC7ADB"/>
    <w:rsid w:val="00DE6DF7"/>
    <w:rsid w:val="00E00DB1"/>
    <w:rsid w:val="00E01DC8"/>
    <w:rsid w:val="00E1431B"/>
    <w:rsid w:val="00E369D3"/>
    <w:rsid w:val="00E605B7"/>
    <w:rsid w:val="00E60EB6"/>
    <w:rsid w:val="00E72983"/>
    <w:rsid w:val="00E8518A"/>
    <w:rsid w:val="00EA0CB0"/>
    <w:rsid w:val="00EB3583"/>
    <w:rsid w:val="00EC310A"/>
    <w:rsid w:val="00EC6E1C"/>
    <w:rsid w:val="00ED7E2A"/>
    <w:rsid w:val="00EF4A98"/>
    <w:rsid w:val="00F10786"/>
    <w:rsid w:val="00F20480"/>
    <w:rsid w:val="00F25C49"/>
    <w:rsid w:val="00F43ECC"/>
    <w:rsid w:val="00F504DE"/>
    <w:rsid w:val="00F53B75"/>
    <w:rsid w:val="00F8150E"/>
    <w:rsid w:val="00F83C46"/>
    <w:rsid w:val="00F868E6"/>
    <w:rsid w:val="00FB3238"/>
    <w:rsid w:val="00FC4D9F"/>
    <w:rsid w:val="00FD0B74"/>
    <w:rsid w:val="00FD6ABE"/>
    <w:rsid w:val="0112363F"/>
    <w:rsid w:val="021138F7"/>
    <w:rsid w:val="026E00C7"/>
    <w:rsid w:val="02B924F1"/>
    <w:rsid w:val="02CF7601"/>
    <w:rsid w:val="02DC3F04"/>
    <w:rsid w:val="02E66B31"/>
    <w:rsid w:val="037B65EF"/>
    <w:rsid w:val="03FB3F20"/>
    <w:rsid w:val="04285F56"/>
    <w:rsid w:val="04601BEE"/>
    <w:rsid w:val="060303D3"/>
    <w:rsid w:val="06F1534C"/>
    <w:rsid w:val="070E634A"/>
    <w:rsid w:val="07C77086"/>
    <w:rsid w:val="08D52E0F"/>
    <w:rsid w:val="09040A3A"/>
    <w:rsid w:val="09184979"/>
    <w:rsid w:val="0970184A"/>
    <w:rsid w:val="0ABE2142"/>
    <w:rsid w:val="0ABE56F6"/>
    <w:rsid w:val="0AC37758"/>
    <w:rsid w:val="0B6B051B"/>
    <w:rsid w:val="0BB2614A"/>
    <w:rsid w:val="0BBF43C3"/>
    <w:rsid w:val="0BE27567"/>
    <w:rsid w:val="0C6F7EB8"/>
    <w:rsid w:val="0C9B7773"/>
    <w:rsid w:val="0D0369D8"/>
    <w:rsid w:val="0D0771ED"/>
    <w:rsid w:val="0D67418C"/>
    <w:rsid w:val="0DF91E0E"/>
    <w:rsid w:val="0E1817BD"/>
    <w:rsid w:val="0F126BC8"/>
    <w:rsid w:val="0FD90BDB"/>
    <w:rsid w:val="1111746F"/>
    <w:rsid w:val="111B209C"/>
    <w:rsid w:val="116841F9"/>
    <w:rsid w:val="121A3168"/>
    <w:rsid w:val="1222513E"/>
    <w:rsid w:val="122B27B2"/>
    <w:rsid w:val="12541EAB"/>
    <w:rsid w:val="12595AAF"/>
    <w:rsid w:val="12CD5618"/>
    <w:rsid w:val="137800CD"/>
    <w:rsid w:val="13D13E7D"/>
    <w:rsid w:val="146B090B"/>
    <w:rsid w:val="14CF6306"/>
    <w:rsid w:val="14F83400"/>
    <w:rsid w:val="151042B7"/>
    <w:rsid w:val="151B1AE4"/>
    <w:rsid w:val="1567742B"/>
    <w:rsid w:val="16067918"/>
    <w:rsid w:val="160F4437"/>
    <w:rsid w:val="1658169C"/>
    <w:rsid w:val="16622325"/>
    <w:rsid w:val="16BC60CF"/>
    <w:rsid w:val="16F77107"/>
    <w:rsid w:val="172E2D4F"/>
    <w:rsid w:val="17C04618"/>
    <w:rsid w:val="186057EE"/>
    <w:rsid w:val="196C35CC"/>
    <w:rsid w:val="1A872550"/>
    <w:rsid w:val="1A883FC5"/>
    <w:rsid w:val="1A944E6D"/>
    <w:rsid w:val="1B8F294D"/>
    <w:rsid w:val="1C027428"/>
    <w:rsid w:val="1C4C2A68"/>
    <w:rsid w:val="1CBA6C0D"/>
    <w:rsid w:val="1CF71773"/>
    <w:rsid w:val="1D400B81"/>
    <w:rsid w:val="1DD96FAC"/>
    <w:rsid w:val="1DE71C83"/>
    <w:rsid w:val="1E3B5B2B"/>
    <w:rsid w:val="1E4C4632"/>
    <w:rsid w:val="1E960FB4"/>
    <w:rsid w:val="1F4153C3"/>
    <w:rsid w:val="1F505606"/>
    <w:rsid w:val="1FD71884"/>
    <w:rsid w:val="1FF902F1"/>
    <w:rsid w:val="207E70B4"/>
    <w:rsid w:val="21CF7DC6"/>
    <w:rsid w:val="223C00C4"/>
    <w:rsid w:val="22A35957"/>
    <w:rsid w:val="24127AC0"/>
    <w:rsid w:val="24AD4B52"/>
    <w:rsid w:val="24D17D91"/>
    <w:rsid w:val="24E52E58"/>
    <w:rsid w:val="256911D0"/>
    <w:rsid w:val="2624159B"/>
    <w:rsid w:val="263E08AF"/>
    <w:rsid w:val="26635A83"/>
    <w:rsid w:val="2674023B"/>
    <w:rsid w:val="26797B39"/>
    <w:rsid w:val="269B3FC3"/>
    <w:rsid w:val="26E1123A"/>
    <w:rsid w:val="27357461"/>
    <w:rsid w:val="279268CB"/>
    <w:rsid w:val="27CB6172"/>
    <w:rsid w:val="28237019"/>
    <w:rsid w:val="28304227"/>
    <w:rsid w:val="294C6E3F"/>
    <w:rsid w:val="2ADF07C0"/>
    <w:rsid w:val="2AF10F5C"/>
    <w:rsid w:val="2B0D40D4"/>
    <w:rsid w:val="2B12230A"/>
    <w:rsid w:val="2B1C4E7C"/>
    <w:rsid w:val="2BB46F1D"/>
    <w:rsid w:val="2BF02747"/>
    <w:rsid w:val="2C304F8C"/>
    <w:rsid w:val="2C4C35F9"/>
    <w:rsid w:val="2CFA3055"/>
    <w:rsid w:val="2D2360DB"/>
    <w:rsid w:val="2D360531"/>
    <w:rsid w:val="2D807753"/>
    <w:rsid w:val="2DDD688B"/>
    <w:rsid w:val="2EC65B3E"/>
    <w:rsid w:val="2ECF7374"/>
    <w:rsid w:val="2F123F61"/>
    <w:rsid w:val="2F274CA4"/>
    <w:rsid w:val="2F483E48"/>
    <w:rsid w:val="2F7259DF"/>
    <w:rsid w:val="2FDB7E11"/>
    <w:rsid w:val="3005776C"/>
    <w:rsid w:val="31376C89"/>
    <w:rsid w:val="31683187"/>
    <w:rsid w:val="31C256F6"/>
    <w:rsid w:val="32424954"/>
    <w:rsid w:val="324B5F54"/>
    <w:rsid w:val="32C97752"/>
    <w:rsid w:val="332447C0"/>
    <w:rsid w:val="335D7E9A"/>
    <w:rsid w:val="33B43F33"/>
    <w:rsid w:val="33C7005D"/>
    <w:rsid w:val="33D97E69"/>
    <w:rsid w:val="33FB1B8D"/>
    <w:rsid w:val="344352E2"/>
    <w:rsid w:val="34765FDE"/>
    <w:rsid w:val="35103416"/>
    <w:rsid w:val="353D7DC9"/>
    <w:rsid w:val="35942299"/>
    <w:rsid w:val="359A7184"/>
    <w:rsid w:val="35BE7820"/>
    <w:rsid w:val="36085A01"/>
    <w:rsid w:val="364E2547"/>
    <w:rsid w:val="3665098C"/>
    <w:rsid w:val="366F23BE"/>
    <w:rsid w:val="369C6483"/>
    <w:rsid w:val="371B337B"/>
    <w:rsid w:val="374455F9"/>
    <w:rsid w:val="37CE2717"/>
    <w:rsid w:val="37EE03AF"/>
    <w:rsid w:val="3B812A91"/>
    <w:rsid w:val="3B96663F"/>
    <w:rsid w:val="3C6C7E8B"/>
    <w:rsid w:val="3C870C73"/>
    <w:rsid w:val="3C9E1C4F"/>
    <w:rsid w:val="3D251A29"/>
    <w:rsid w:val="3D332A9B"/>
    <w:rsid w:val="3D6F7523"/>
    <w:rsid w:val="3E3D60E3"/>
    <w:rsid w:val="3E495BEB"/>
    <w:rsid w:val="3E4D0A07"/>
    <w:rsid w:val="3E570308"/>
    <w:rsid w:val="3FA72614"/>
    <w:rsid w:val="3FE61943"/>
    <w:rsid w:val="40C63523"/>
    <w:rsid w:val="40E83499"/>
    <w:rsid w:val="411A3222"/>
    <w:rsid w:val="41362456"/>
    <w:rsid w:val="41B15F81"/>
    <w:rsid w:val="41C757A4"/>
    <w:rsid w:val="41FF633B"/>
    <w:rsid w:val="42507548"/>
    <w:rsid w:val="43265C3D"/>
    <w:rsid w:val="435C3F23"/>
    <w:rsid w:val="436B215F"/>
    <w:rsid w:val="43E51F12"/>
    <w:rsid w:val="44CA0EAE"/>
    <w:rsid w:val="44F8707A"/>
    <w:rsid w:val="4596388D"/>
    <w:rsid w:val="45E05087"/>
    <w:rsid w:val="45ED3A98"/>
    <w:rsid w:val="461B60BF"/>
    <w:rsid w:val="466176DF"/>
    <w:rsid w:val="47170634"/>
    <w:rsid w:val="474E78C0"/>
    <w:rsid w:val="478C1684"/>
    <w:rsid w:val="478D08F6"/>
    <w:rsid w:val="47AB5220"/>
    <w:rsid w:val="47CD5197"/>
    <w:rsid w:val="481C1C7A"/>
    <w:rsid w:val="493B4531"/>
    <w:rsid w:val="499832EE"/>
    <w:rsid w:val="49EE0F5B"/>
    <w:rsid w:val="4A3567EB"/>
    <w:rsid w:val="4A8C5F57"/>
    <w:rsid w:val="4AF60EA8"/>
    <w:rsid w:val="4B4A71DF"/>
    <w:rsid w:val="4BCD09D9"/>
    <w:rsid w:val="4C02077C"/>
    <w:rsid w:val="4C06511B"/>
    <w:rsid w:val="4C314060"/>
    <w:rsid w:val="4C7C7E51"/>
    <w:rsid w:val="4C7E5C50"/>
    <w:rsid w:val="4D815B9A"/>
    <w:rsid w:val="4DC244DF"/>
    <w:rsid w:val="4DFD5C2B"/>
    <w:rsid w:val="4E094143"/>
    <w:rsid w:val="4E962786"/>
    <w:rsid w:val="4F931D3A"/>
    <w:rsid w:val="4F9C3DCC"/>
    <w:rsid w:val="4FF2615A"/>
    <w:rsid w:val="502618E8"/>
    <w:rsid w:val="50AC5FC9"/>
    <w:rsid w:val="50F413DD"/>
    <w:rsid w:val="51581C2F"/>
    <w:rsid w:val="527032EE"/>
    <w:rsid w:val="536A5F90"/>
    <w:rsid w:val="538232D9"/>
    <w:rsid w:val="54930A9D"/>
    <w:rsid w:val="54EA2EA3"/>
    <w:rsid w:val="5560589C"/>
    <w:rsid w:val="56275945"/>
    <w:rsid w:val="56894032"/>
    <w:rsid w:val="56FB1D20"/>
    <w:rsid w:val="572F0EFF"/>
    <w:rsid w:val="577B51DF"/>
    <w:rsid w:val="583E59F7"/>
    <w:rsid w:val="585B234B"/>
    <w:rsid w:val="58977827"/>
    <w:rsid w:val="59080725"/>
    <w:rsid w:val="59BF37EC"/>
    <w:rsid w:val="5A416CF9"/>
    <w:rsid w:val="5AB714F1"/>
    <w:rsid w:val="5AC123CB"/>
    <w:rsid w:val="5B072E3E"/>
    <w:rsid w:val="5B2F1F99"/>
    <w:rsid w:val="5B7756EE"/>
    <w:rsid w:val="5C5435DD"/>
    <w:rsid w:val="5C65329A"/>
    <w:rsid w:val="5D5C71B3"/>
    <w:rsid w:val="5DD87423"/>
    <w:rsid w:val="5DE55498"/>
    <w:rsid w:val="5E3F6A64"/>
    <w:rsid w:val="5E706282"/>
    <w:rsid w:val="5E782B3A"/>
    <w:rsid w:val="5F872567"/>
    <w:rsid w:val="5FDB5835"/>
    <w:rsid w:val="5FEA2932"/>
    <w:rsid w:val="603B2F4C"/>
    <w:rsid w:val="62944DD7"/>
    <w:rsid w:val="629B1244"/>
    <w:rsid w:val="62DF24F6"/>
    <w:rsid w:val="6312698E"/>
    <w:rsid w:val="63600CC5"/>
    <w:rsid w:val="63743E89"/>
    <w:rsid w:val="65E916BA"/>
    <w:rsid w:val="661956A7"/>
    <w:rsid w:val="66233FAC"/>
    <w:rsid w:val="66D47E98"/>
    <w:rsid w:val="679A4F01"/>
    <w:rsid w:val="67C142A8"/>
    <w:rsid w:val="68030A35"/>
    <w:rsid w:val="69683ACF"/>
    <w:rsid w:val="698D67F6"/>
    <w:rsid w:val="69A470E9"/>
    <w:rsid w:val="6A124CAF"/>
    <w:rsid w:val="6A432172"/>
    <w:rsid w:val="6B4078AA"/>
    <w:rsid w:val="6D5C73A1"/>
    <w:rsid w:val="6E3851B0"/>
    <w:rsid w:val="6E605BCB"/>
    <w:rsid w:val="6E8C1058"/>
    <w:rsid w:val="6ECA28F1"/>
    <w:rsid w:val="6EF03395"/>
    <w:rsid w:val="6F3E2352"/>
    <w:rsid w:val="6F6A1BB3"/>
    <w:rsid w:val="6FA64A0D"/>
    <w:rsid w:val="6FAD1286"/>
    <w:rsid w:val="6FB60DD9"/>
    <w:rsid w:val="6FE80510"/>
    <w:rsid w:val="707B1384"/>
    <w:rsid w:val="71864485"/>
    <w:rsid w:val="71D074AE"/>
    <w:rsid w:val="71E45895"/>
    <w:rsid w:val="721D13E6"/>
    <w:rsid w:val="726E49BC"/>
    <w:rsid w:val="72D8486C"/>
    <w:rsid w:val="731A7BD0"/>
    <w:rsid w:val="73401F92"/>
    <w:rsid w:val="741B5358"/>
    <w:rsid w:val="7557520C"/>
    <w:rsid w:val="7566138D"/>
    <w:rsid w:val="760065B4"/>
    <w:rsid w:val="761731B9"/>
    <w:rsid w:val="76443710"/>
    <w:rsid w:val="76943903"/>
    <w:rsid w:val="76F90E24"/>
    <w:rsid w:val="777E0F0A"/>
    <w:rsid w:val="77871319"/>
    <w:rsid w:val="77A15B74"/>
    <w:rsid w:val="77F801BC"/>
    <w:rsid w:val="783B1B25"/>
    <w:rsid w:val="78D82D7B"/>
    <w:rsid w:val="79424706"/>
    <w:rsid w:val="794C2C24"/>
    <w:rsid w:val="7B29605A"/>
    <w:rsid w:val="7B4B56FA"/>
    <w:rsid w:val="7B8918B9"/>
    <w:rsid w:val="7BD3694E"/>
    <w:rsid w:val="7C1C4BBB"/>
    <w:rsid w:val="7C2E0207"/>
    <w:rsid w:val="7C833A9B"/>
    <w:rsid w:val="7CF90201"/>
    <w:rsid w:val="7D8D7BDC"/>
    <w:rsid w:val="7E282E66"/>
    <w:rsid w:val="7E835FD4"/>
    <w:rsid w:val="7EA63B28"/>
    <w:rsid w:val="7F0B49D0"/>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autoRedefine/>
    <w:unhideWhenUsed/>
    <w:qFormat/>
    <w:uiPriority w:val="99"/>
    <w:pPr>
      <w:jc w:val="left"/>
    </w:pPr>
  </w:style>
  <w:style w:type="paragraph" w:styleId="3">
    <w:name w:val="Plain Text"/>
    <w:basedOn w:val="1"/>
    <w:link w:val="14"/>
    <w:autoRedefine/>
    <w:unhideWhenUsed/>
    <w:qFormat/>
    <w:uiPriority w:val="0"/>
    <w:rPr>
      <w:rFonts w:ascii="宋体" w:hAnsi="Courier New" w:cs="Courier New"/>
      <w:szCs w:val="21"/>
    </w:rPr>
  </w:style>
  <w:style w:type="paragraph" w:styleId="4">
    <w:name w:val="endnote text"/>
    <w:basedOn w:val="1"/>
    <w:semiHidden/>
    <w:unhideWhenUsed/>
    <w:qFormat/>
    <w:uiPriority w:val="99"/>
    <w:pPr>
      <w:snapToGrid w:val="0"/>
      <w:jc w:val="left"/>
    </w:p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1"/>
    <w:autoRedefine/>
    <w:semiHidden/>
    <w:unhideWhenUsed/>
    <w:qFormat/>
    <w:uiPriority w:val="99"/>
    <w:rPr>
      <w:b/>
      <w:bCs/>
    </w:rPr>
  </w:style>
  <w:style w:type="character" w:styleId="11">
    <w:name w:val="endnote reference"/>
    <w:basedOn w:val="10"/>
    <w:semiHidden/>
    <w:unhideWhenUsed/>
    <w:qFormat/>
    <w:uiPriority w:val="99"/>
    <w:rPr>
      <w:vertAlign w:val="superscript"/>
    </w:rPr>
  </w:style>
  <w:style w:type="character" w:styleId="12">
    <w:name w:val="Hyperlink"/>
    <w:basedOn w:val="10"/>
    <w:autoRedefine/>
    <w:qFormat/>
    <w:uiPriority w:val="0"/>
    <w:rPr>
      <w:color w:val="0000FF"/>
      <w:u w:val="single"/>
    </w:rPr>
  </w:style>
  <w:style w:type="character" w:styleId="13">
    <w:name w:val="annotation reference"/>
    <w:basedOn w:val="10"/>
    <w:autoRedefine/>
    <w:semiHidden/>
    <w:unhideWhenUsed/>
    <w:qFormat/>
    <w:uiPriority w:val="99"/>
    <w:rPr>
      <w:sz w:val="21"/>
      <w:szCs w:val="21"/>
    </w:rPr>
  </w:style>
  <w:style w:type="character" w:customStyle="1" w:styleId="14">
    <w:name w:val="纯文本 字符"/>
    <w:basedOn w:val="10"/>
    <w:link w:val="3"/>
    <w:autoRedefine/>
    <w:qFormat/>
    <w:uiPriority w:val="0"/>
    <w:rPr>
      <w:rFonts w:ascii="宋体" w:hAnsi="Courier New" w:eastAsia="宋体" w:cs="Courier New"/>
      <w:szCs w:val="21"/>
    </w:rPr>
  </w:style>
  <w:style w:type="character" w:customStyle="1" w:styleId="15">
    <w:name w:val="页眉 字符"/>
    <w:basedOn w:val="10"/>
    <w:link w:val="7"/>
    <w:autoRedefine/>
    <w:qFormat/>
    <w:uiPriority w:val="0"/>
    <w:rPr>
      <w:rFonts w:ascii="Times New Roman" w:hAnsi="Times New Roman" w:eastAsia="宋体" w:cs="Times New Roman"/>
      <w:sz w:val="18"/>
      <w:szCs w:val="18"/>
    </w:rPr>
  </w:style>
  <w:style w:type="character" w:customStyle="1" w:styleId="16">
    <w:name w:val="页脚 字符"/>
    <w:basedOn w:val="10"/>
    <w:link w:val="6"/>
    <w:autoRedefine/>
    <w:qFormat/>
    <w:uiPriority w:val="99"/>
    <w:rPr>
      <w:rFonts w:ascii="Times New Roman" w:hAnsi="Times New Roman" w:eastAsia="宋体" w:cs="Times New Roman"/>
      <w:sz w:val="18"/>
      <w:szCs w:val="18"/>
    </w:rPr>
  </w:style>
  <w:style w:type="character" w:customStyle="1" w:styleId="17">
    <w:name w:val="批注框文本 字符"/>
    <w:basedOn w:val="10"/>
    <w:link w:val="5"/>
    <w:autoRedefine/>
    <w:semiHidden/>
    <w:qFormat/>
    <w:uiPriority w:val="99"/>
    <w:rPr>
      <w:rFonts w:ascii="Times New Roman" w:hAnsi="Times New Roman" w:eastAsia="宋体" w:cs="Times New Roman"/>
      <w:sz w:val="18"/>
      <w:szCs w:val="18"/>
    </w:rPr>
  </w:style>
  <w:style w:type="character" w:customStyle="1" w:styleId="18">
    <w:name w:val="font01"/>
    <w:autoRedefine/>
    <w:qFormat/>
    <w:uiPriority w:val="0"/>
    <w:rPr>
      <w:rFonts w:hint="default" w:ascii="Times New Roman" w:hAnsi="Times New Roman" w:cs="Times New Roman"/>
      <w:color w:val="000000"/>
      <w:sz w:val="18"/>
      <w:szCs w:val="18"/>
      <w:u w:val="none"/>
    </w:rPr>
  </w:style>
  <w:style w:type="paragraph" w:customStyle="1" w:styleId="19">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批注文字 字符"/>
    <w:basedOn w:val="10"/>
    <w:link w:val="2"/>
    <w:autoRedefine/>
    <w:qFormat/>
    <w:uiPriority w:val="99"/>
    <w:rPr>
      <w:rFonts w:ascii="Times New Roman" w:hAnsi="Times New Roman" w:eastAsia="宋体" w:cs="Times New Roman"/>
      <w:kern w:val="2"/>
      <w:sz w:val="21"/>
      <w:szCs w:val="24"/>
    </w:rPr>
  </w:style>
  <w:style w:type="character" w:customStyle="1" w:styleId="21">
    <w:name w:val="批注主题 字符"/>
    <w:basedOn w:val="20"/>
    <w:link w:val="8"/>
    <w:autoRedefine/>
    <w:semiHidden/>
    <w:qFormat/>
    <w:uiPriority w:val="99"/>
    <w:rPr>
      <w:rFonts w:ascii="Times New Roman" w:hAnsi="Times New Roman" w:eastAsia="宋体" w:cs="Times New Roman"/>
      <w:b/>
      <w:bCs/>
      <w:kern w:val="2"/>
      <w:sz w:val="21"/>
      <w:szCs w:val="24"/>
    </w:rPr>
  </w:style>
  <w:style w:type="paragraph" w:customStyle="1" w:styleId="22">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8F6DF-2F8D-421D-A85E-217B6A4AB65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4360</Words>
  <Characters>4487</Characters>
  <Lines>38</Lines>
  <Paragraphs>10</Paragraphs>
  <TotalTime>4</TotalTime>
  <ScaleCrop>false</ScaleCrop>
  <LinksUpToDate>false</LinksUpToDate>
  <CharactersWithSpaces>4598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2025-08-31T12:02:00Z</dcterms:created>
  <dc:creator>SHOU</dc:creator>
  <cp:lastModifiedBy>始终;</cp:lastModifiedBy>
  <cp:lastPrinted>2024-04-10T06:05:00Z</cp:lastPrinted>
  <dcterms:modified xsi:type="dcterms:W3CDTF">2025-09-15T05:29:06Z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7A889072F7C94BA190E5DB7A8EA9045D_13</vt:lpwstr>
  </property>
  <property fmtid="{D5CDD505-2E9C-101B-9397-08002B2CF9AE}" pid="4" name="KSOTemplateDocerSaveRecord">
    <vt:lpwstr>eyJoZGlkIjoiMmU2M2MyMDg0ZWRlOTY1M2Y5ZGMwZjE4MTAyZTJlNjEiLCJ1c2VySWQiOiIzNDcwODI0MzcifQ==</vt:lpwstr>
  </property>
</Properties>
</file>